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90" w:rsidRPr="00BA6190" w:rsidRDefault="00BA6190" w:rsidP="00BA6190">
      <w:pPr>
        <w:snapToGrid w:val="0"/>
        <w:spacing w:after="120" w:line="240" w:lineRule="auto"/>
        <w:jc w:val="center"/>
        <w:rPr>
          <w:rFonts w:ascii="Times New Roman" w:hAnsi="Times New Roman" w:cs="Times New Roman"/>
          <w:b/>
          <w:sz w:val="24"/>
          <w:szCs w:val="24"/>
        </w:rPr>
      </w:pPr>
      <w:r w:rsidRPr="00BA6190">
        <w:rPr>
          <w:rFonts w:ascii="Times New Roman" w:hAnsi="Times New Roman" w:cs="Times New Roman"/>
          <w:b/>
          <w:sz w:val="24"/>
          <w:szCs w:val="24"/>
        </w:rPr>
        <w:t xml:space="preserve">УСЛОВИЯ </w:t>
      </w:r>
    </w:p>
    <w:p w:rsidR="00BA6190" w:rsidRPr="00BA6190" w:rsidRDefault="00BA6190" w:rsidP="00BA6190">
      <w:pPr>
        <w:snapToGrid w:val="0"/>
        <w:spacing w:after="120" w:line="240" w:lineRule="auto"/>
        <w:jc w:val="center"/>
        <w:rPr>
          <w:rFonts w:ascii="Times New Roman" w:hAnsi="Times New Roman" w:cs="Times New Roman"/>
          <w:sz w:val="24"/>
          <w:szCs w:val="24"/>
        </w:rPr>
      </w:pPr>
      <w:r w:rsidRPr="00BA6190">
        <w:rPr>
          <w:rFonts w:ascii="Times New Roman" w:hAnsi="Times New Roman" w:cs="Times New Roman"/>
          <w:sz w:val="24"/>
          <w:szCs w:val="24"/>
        </w:rPr>
        <w:t>за предоставяне на минимални помощи при изпълнение на проекти за енергийна ефективност на жилищни сгради, финансирани по Приоритетна ос 2: „Подкрепа за енергийна ефективност в опорни центрове в периферните райони“  на Оперативна програма „Региони в растеж“ 2014 – 2020</w:t>
      </w:r>
    </w:p>
    <w:p w:rsidR="00BA6190" w:rsidRPr="00BA6190" w:rsidRDefault="00BA6190" w:rsidP="00BA6190">
      <w:pPr>
        <w:widowControl w:val="0"/>
        <w:autoSpaceDE w:val="0"/>
        <w:autoSpaceDN w:val="0"/>
        <w:adjustRightInd w:val="0"/>
        <w:snapToGrid w:val="0"/>
        <w:spacing w:after="120" w:line="240" w:lineRule="auto"/>
        <w:ind w:left="4"/>
        <w:rPr>
          <w:rFonts w:ascii="Times New Roman" w:hAnsi="Times New Roman" w:cs="Times New Roman"/>
          <w:b/>
          <w:bCs/>
          <w:sz w:val="24"/>
          <w:szCs w:val="24"/>
        </w:rPr>
      </w:pPr>
    </w:p>
    <w:p w:rsidR="00BA6190" w:rsidRPr="00BA6190" w:rsidRDefault="00BA6190" w:rsidP="00BA6190">
      <w:pPr>
        <w:widowControl w:val="0"/>
        <w:numPr>
          <w:ilvl w:val="0"/>
          <w:numId w:val="24"/>
        </w:numPr>
        <w:autoSpaceDE w:val="0"/>
        <w:autoSpaceDN w:val="0"/>
        <w:adjustRightInd w:val="0"/>
        <w:snapToGrid w:val="0"/>
        <w:spacing w:after="120" w:line="240" w:lineRule="auto"/>
        <w:rPr>
          <w:rFonts w:ascii="Times New Roman" w:hAnsi="Times New Roman" w:cs="Times New Roman"/>
          <w:b/>
          <w:bCs/>
          <w:sz w:val="24"/>
          <w:szCs w:val="24"/>
        </w:rPr>
      </w:pPr>
      <w:r w:rsidRPr="00BA6190">
        <w:rPr>
          <w:rFonts w:ascii="Times New Roman" w:hAnsi="Times New Roman" w:cs="Times New Roman"/>
          <w:b/>
          <w:bCs/>
          <w:sz w:val="24"/>
          <w:szCs w:val="24"/>
        </w:rPr>
        <w:t>ВЪВЕДЕНИЕ</w:t>
      </w:r>
    </w:p>
    <w:p w:rsidR="00BA6190" w:rsidRPr="00BA6190" w:rsidRDefault="00BA6190" w:rsidP="00BA6190">
      <w:pPr>
        <w:snapToGrid w:val="0"/>
        <w:spacing w:after="120" w:line="240" w:lineRule="auto"/>
        <w:jc w:val="both"/>
        <w:rPr>
          <w:rFonts w:ascii="Times New Roman" w:eastAsia="Times New Roman" w:hAnsi="Times New Roman" w:cs="Times New Roman"/>
          <w:color w:val="000000" w:themeColor="text1"/>
          <w:sz w:val="24"/>
          <w:szCs w:val="24"/>
          <w:lang w:eastAsia="bg-BG"/>
        </w:rPr>
      </w:pPr>
      <w:r w:rsidRPr="00BA6190">
        <w:rPr>
          <w:rFonts w:ascii="Times New Roman" w:eastAsia="Times New Roman" w:hAnsi="Times New Roman" w:cs="Times New Roman"/>
          <w:bCs/>
          <w:sz w:val="24"/>
          <w:szCs w:val="24"/>
          <w:lang w:eastAsia="bg-BG"/>
        </w:rPr>
        <w:t xml:space="preserve">Настоящите условия са разработени, за да определят начина, по който следва да се изпълняват </w:t>
      </w:r>
      <w:r w:rsidRPr="00BA6190">
        <w:rPr>
          <w:rFonts w:ascii="Times New Roman" w:eastAsia="Times New Roman" w:hAnsi="Times New Roman" w:cs="Times New Roman"/>
          <w:sz w:val="24"/>
          <w:szCs w:val="24"/>
          <w:lang w:eastAsia="bg-BG"/>
        </w:rPr>
        <w:t xml:space="preserve">проекти за енергийна ефективност на жилищни сгради, финансирани по процедура BG16RFOP001-2.001 „Енергийна ефективност в периферните райони”, Приоритетна ос 2 „Подкрепа за енергийна ефективност в опорни центрове в периферните райони“ на ОПРР 2014 – 2020 </w:t>
      </w:r>
      <w:r w:rsidRPr="00BA6190">
        <w:rPr>
          <w:rFonts w:ascii="Times New Roman" w:eastAsia="Times New Roman" w:hAnsi="Times New Roman" w:cs="Times New Roman"/>
          <w:color w:val="000000" w:themeColor="text1"/>
          <w:sz w:val="24"/>
          <w:szCs w:val="24"/>
          <w:lang w:eastAsia="bg-BG"/>
        </w:rPr>
        <w:t xml:space="preserve">и да се укажат правилата, приложими съгласно </w:t>
      </w:r>
      <w:r w:rsidRPr="00BA6190">
        <w:rPr>
          <w:rFonts w:ascii="Times New Roman" w:eastAsia="Times New Roman" w:hAnsi="Times New Roman" w:cs="Times New Roman"/>
          <w:bCs/>
          <w:sz w:val="24"/>
          <w:szCs w:val="24"/>
          <w:lang w:eastAsia="bg-BG"/>
        </w:rPr>
        <w:t>условията на</w:t>
      </w:r>
      <w:r w:rsidRPr="00BA6190">
        <w:rPr>
          <w:rFonts w:ascii="Times New Roman" w:eastAsia="Times New Roman" w:hAnsi="Times New Roman" w:cs="Times New Roman"/>
          <w:b/>
          <w:bCs/>
          <w:sz w:val="24"/>
          <w:szCs w:val="24"/>
          <w:lang w:eastAsia="bg-BG"/>
        </w:rPr>
        <w:t xml:space="preserve"> </w:t>
      </w:r>
      <w:r w:rsidRPr="00BA6190">
        <w:rPr>
          <w:rFonts w:ascii="Times New Roman" w:eastAsia="Times New Roman" w:hAnsi="Times New Roman" w:cs="Times New Roman"/>
          <w:color w:val="000000" w:themeColor="text1"/>
          <w:sz w:val="24"/>
          <w:szCs w:val="24"/>
          <w:lang w:eastAsia="bg-BG"/>
        </w:rPr>
        <w:t xml:space="preserve">Регламент (ЕС) № 1407/2013 на Комисията от 18 декември 2013 г. относно прилагането на членове 107 и 108 от Договора за функциониране на ЕС (ДФЕС) към помощта de minimis (OB, L 352 от 24.12.2013 г.).  </w:t>
      </w:r>
    </w:p>
    <w:p w:rsidR="00BA6190" w:rsidRPr="00BA6190" w:rsidRDefault="00BA6190" w:rsidP="00BA6190">
      <w:pPr>
        <w:snapToGrid w:val="0"/>
        <w:spacing w:after="120" w:line="240" w:lineRule="auto"/>
        <w:jc w:val="both"/>
        <w:rPr>
          <w:rFonts w:ascii="Times New Roman" w:eastAsia="Times New Roman" w:hAnsi="Times New Roman" w:cs="Times New Roman"/>
          <w:color w:val="000000" w:themeColor="text1"/>
          <w:sz w:val="24"/>
          <w:szCs w:val="24"/>
          <w:lang w:eastAsia="bg-BG"/>
        </w:rPr>
      </w:pPr>
      <w:r w:rsidRPr="00BA6190">
        <w:rPr>
          <w:rFonts w:ascii="Times New Roman" w:eastAsia="Times New Roman" w:hAnsi="Times New Roman" w:cs="Times New Roman"/>
          <w:color w:val="000000" w:themeColor="text1"/>
          <w:sz w:val="24"/>
          <w:szCs w:val="24"/>
          <w:lang w:eastAsia="bg-BG"/>
        </w:rPr>
        <w:t>Условията са приложими към получателите на безвъзмездна финансова помощ (БФП) по проектите, а именно съответните собственици на самостоятелни обекти (ССО) в сградите, допустими за финансиране.</w:t>
      </w:r>
    </w:p>
    <w:p w:rsidR="00BA6190" w:rsidRPr="00BA6190" w:rsidRDefault="00BA6190" w:rsidP="00BA6190">
      <w:pPr>
        <w:snapToGrid w:val="0"/>
        <w:spacing w:after="120" w:line="240" w:lineRule="auto"/>
        <w:jc w:val="both"/>
        <w:rPr>
          <w:rFonts w:ascii="Times New Roman" w:eastAsia="Times New Roman" w:hAnsi="Times New Roman" w:cs="Times New Roman"/>
          <w:color w:val="000000" w:themeColor="text1"/>
          <w:sz w:val="24"/>
          <w:szCs w:val="24"/>
          <w:lang w:eastAsia="bg-BG"/>
        </w:rPr>
      </w:pPr>
      <w:r w:rsidRPr="00BA6190">
        <w:rPr>
          <w:rFonts w:ascii="Times New Roman" w:eastAsia="Times New Roman" w:hAnsi="Times New Roman" w:cs="Times New Roman"/>
          <w:color w:val="000000" w:themeColor="text1"/>
          <w:sz w:val="24"/>
          <w:szCs w:val="24"/>
          <w:lang w:eastAsia="bg-BG"/>
        </w:rPr>
        <w:t xml:space="preserve">Условията са неразделна част от Указанията за </w:t>
      </w:r>
      <w:r w:rsidRPr="00BA6190">
        <w:rPr>
          <w:rFonts w:ascii="Times New Roman" w:eastAsia="Times New Roman" w:hAnsi="Times New Roman" w:cs="Times New Roman"/>
          <w:sz w:val="24"/>
          <w:szCs w:val="24"/>
          <w:lang w:eastAsia="bg-BG"/>
        </w:rPr>
        <w:t xml:space="preserve">изпълнение на проекти за енергийна ефективност на жилищни сгради, финансирани по </w:t>
      </w:r>
      <w:r w:rsidRPr="00BA6190">
        <w:rPr>
          <w:rFonts w:ascii="Times New Roman" w:eastAsia="Times New Roman" w:hAnsi="Times New Roman" w:cs="Times New Roman"/>
          <w:color w:val="000000" w:themeColor="text1"/>
          <w:sz w:val="24"/>
          <w:szCs w:val="24"/>
          <w:lang w:eastAsia="bg-BG"/>
        </w:rPr>
        <w:t xml:space="preserve">Приоритетна ос 2: „Подкрепа за енергийна ефективност в опорни центрове в периферните райони“ на Оперативна програма „Региони в растеж“ 2014 – 2020 </w:t>
      </w:r>
      <w:r w:rsidRPr="00BA6190">
        <w:rPr>
          <w:rFonts w:ascii="Times New Roman" w:eastAsia="Times New Roman" w:hAnsi="Times New Roman" w:cs="Times New Roman"/>
          <w:sz w:val="24"/>
          <w:szCs w:val="24"/>
          <w:lang w:eastAsia="bg-BG"/>
        </w:rPr>
        <w:t>(Указанията)</w:t>
      </w:r>
      <w:r w:rsidRPr="00BA6190">
        <w:rPr>
          <w:rFonts w:ascii="Times New Roman" w:eastAsia="Times New Roman" w:hAnsi="Times New Roman" w:cs="Times New Roman"/>
          <w:color w:val="000000" w:themeColor="text1"/>
          <w:sz w:val="24"/>
          <w:szCs w:val="24"/>
          <w:lang w:eastAsia="bg-BG"/>
        </w:rPr>
        <w:t>, като при противоречие между указанията и настоящите условия, се прилагат настоящите условия.</w:t>
      </w:r>
    </w:p>
    <w:p w:rsidR="00BA6190" w:rsidRPr="00BA6190" w:rsidRDefault="00BA6190" w:rsidP="00BA6190">
      <w:pPr>
        <w:widowControl w:val="0"/>
        <w:autoSpaceDE w:val="0"/>
        <w:autoSpaceDN w:val="0"/>
        <w:adjustRightInd w:val="0"/>
        <w:snapToGrid w:val="0"/>
        <w:spacing w:after="120" w:line="240" w:lineRule="auto"/>
        <w:ind w:left="424"/>
        <w:rPr>
          <w:rFonts w:ascii="Times New Roman" w:hAnsi="Times New Roman" w:cs="Times New Roman"/>
          <w:b/>
          <w:bCs/>
          <w:sz w:val="24"/>
          <w:szCs w:val="24"/>
        </w:rPr>
      </w:pPr>
    </w:p>
    <w:p w:rsidR="00BA6190" w:rsidRPr="00BA6190" w:rsidRDefault="00BA6190" w:rsidP="00BA6190">
      <w:pPr>
        <w:widowControl w:val="0"/>
        <w:numPr>
          <w:ilvl w:val="0"/>
          <w:numId w:val="24"/>
        </w:numPr>
        <w:autoSpaceDE w:val="0"/>
        <w:autoSpaceDN w:val="0"/>
        <w:adjustRightInd w:val="0"/>
        <w:snapToGrid w:val="0"/>
        <w:spacing w:after="120" w:line="240" w:lineRule="auto"/>
        <w:rPr>
          <w:rFonts w:ascii="Times New Roman" w:hAnsi="Times New Roman" w:cs="Times New Roman"/>
          <w:b/>
          <w:bCs/>
          <w:sz w:val="24"/>
          <w:szCs w:val="24"/>
        </w:rPr>
      </w:pPr>
      <w:r w:rsidRPr="00BA6190">
        <w:rPr>
          <w:rFonts w:ascii="Times New Roman" w:hAnsi="Times New Roman" w:cs="Times New Roman"/>
          <w:b/>
          <w:bCs/>
          <w:sz w:val="24"/>
          <w:szCs w:val="24"/>
        </w:rPr>
        <w:t>ФУНКЦИИ НА ОБЩИНАТА</w:t>
      </w:r>
    </w:p>
    <w:p w:rsidR="00BA6190" w:rsidRPr="00BA6190" w:rsidRDefault="00BA6190" w:rsidP="00BA6190">
      <w:pPr>
        <w:suppressAutoHyphens/>
        <w:snapToGrid w:val="0"/>
        <w:spacing w:after="120" w:line="240" w:lineRule="auto"/>
        <w:jc w:val="both"/>
        <w:rPr>
          <w:rFonts w:ascii="Times New Roman" w:hAnsi="Times New Roman" w:cs="Times New Roman"/>
          <w:color w:val="000000" w:themeColor="text1"/>
          <w:sz w:val="24"/>
          <w:szCs w:val="24"/>
        </w:rPr>
      </w:pPr>
      <w:bookmarkStart w:id="0" w:name="_Toc408553692"/>
      <w:bookmarkStart w:id="1" w:name="_Toc408553816"/>
      <w:bookmarkStart w:id="2" w:name="_Toc409109008"/>
      <w:r w:rsidRPr="00BA6190">
        <w:rPr>
          <w:rFonts w:ascii="Times New Roman" w:eastAsia="Calibri" w:hAnsi="Times New Roman" w:cs="Times New Roman"/>
          <w:bCs/>
          <w:iCs/>
          <w:color w:val="000000" w:themeColor="text1"/>
          <w:sz w:val="24"/>
          <w:szCs w:val="24"/>
        </w:rPr>
        <w:t>Съгласно Указанията, общината</w:t>
      </w:r>
      <w:bookmarkEnd w:id="0"/>
      <w:bookmarkEnd w:id="1"/>
      <w:bookmarkEnd w:id="2"/>
      <w:r w:rsidRPr="00BA6190">
        <w:rPr>
          <w:rFonts w:ascii="Times New Roman" w:hAnsi="Times New Roman" w:cs="Times New Roman"/>
          <w:b/>
          <w:bCs/>
          <w:i/>
          <w:iCs/>
          <w:color w:val="000000" w:themeColor="text1"/>
          <w:sz w:val="24"/>
          <w:szCs w:val="24"/>
        </w:rPr>
        <w:t xml:space="preserve"> </w:t>
      </w:r>
      <w:r w:rsidRPr="00BA6190">
        <w:rPr>
          <w:rFonts w:ascii="Times New Roman" w:hAnsi="Times New Roman" w:cs="Times New Roman"/>
          <w:bCs/>
          <w:iCs/>
          <w:color w:val="000000" w:themeColor="text1"/>
          <w:sz w:val="24"/>
          <w:szCs w:val="24"/>
        </w:rPr>
        <w:t>отговаря за цялостното техническо и финансово администриране на проектите на своята територия.</w:t>
      </w:r>
      <w:r w:rsidRPr="00BA6190">
        <w:rPr>
          <w:rFonts w:ascii="Times New Roman" w:hAnsi="Times New Roman" w:cs="Times New Roman"/>
          <w:color w:val="000000" w:themeColor="text1"/>
          <w:sz w:val="24"/>
          <w:szCs w:val="24"/>
        </w:rPr>
        <w:t xml:space="preserve"> </w:t>
      </w:r>
    </w:p>
    <w:p w:rsidR="00BA6190" w:rsidRPr="00BA6190" w:rsidRDefault="00BA6190" w:rsidP="00BA6190">
      <w:pPr>
        <w:snapToGrid w:val="0"/>
        <w:spacing w:after="120" w:line="240" w:lineRule="auto"/>
        <w:jc w:val="both"/>
        <w:rPr>
          <w:rFonts w:ascii="Times New Roman" w:eastAsia="Times New Roman" w:hAnsi="Times New Roman" w:cs="Times New Roman"/>
          <w:color w:val="000000" w:themeColor="text1"/>
          <w:sz w:val="24"/>
          <w:szCs w:val="24"/>
          <w:lang w:eastAsia="bg-BG"/>
        </w:rPr>
      </w:pPr>
      <w:r w:rsidRPr="00BA6190">
        <w:rPr>
          <w:rFonts w:ascii="Times New Roman" w:eastAsia="Times New Roman" w:hAnsi="Times New Roman" w:cs="Times New Roman"/>
          <w:color w:val="000000" w:themeColor="text1"/>
          <w:sz w:val="24"/>
          <w:szCs w:val="24"/>
          <w:lang w:eastAsia="bg-BG"/>
        </w:rPr>
        <w:t>Освен описаните отговорности на общината в Указанията, с оглед изпълнението на дейностите по проектите, съответната община се явява и администратор на помощ по смисъла на Закона за държавните помощи по отношение на средствата, предоставени на нейната територия на отделните получатели и имащи характер на минимална помощ.</w:t>
      </w:r>
    </w:p>
    <w:p w:rsidR="00BA6190" w:rsidRPr="00BA6190" w:rsidRDefault="00BA6190" w:rsidP="00BA6190">
      <w:pPr>
        <w:snapToGrid w:val="0"/>
        <w:spacing w:after="120" w:line="240" w:lineRule="auto"/>
        <w:jc w:val="both"/>
        <w:rPr>
          <w:rFonts w:ascii="Times New Roman" w:hAnsi="Times New Roman" w:cs="Times New Roman"/>
          <w:color w:val="000000" w:themeColor="text1"/>
          <w:sz w:val="24"/>
          <w:szCs w:val="24"/>
        </w:rPr>
      </w:pPr>
      <w:r w:rsidRPr="00BA6190">
        <w:rPr>
          <w:rFonts w:ascii="Times New Roman" w:hAnsi="Times New Roman" w:cs="Times New Roman"/>
          <w:color w:val="000000" w:themeColor="text1"/>
          <w:sz w:val="24"/>
          <w:szCs w:val="24"/>
        </w:rPr>
        <w:t>Общината следва да създаде механизъм за контрол и гарантиране изпълнението на посочените в настоящия документ условия, така че във всеки един момент да може да бъде доказано, че разходването на средствата по схемата отговарят и непротиворечат на действащото национално и европейско законодателство в областта на държавните помощи. В настоящите условия са представени минималните изисквания към механизмите за контрол, които общината следва да въведе, съобразно индивидуалните специфики на организацията на работа в същата.</w:t>
      </w:r>
    </w:p>
    <w:p w:rsidR="00BA6190" w:rsidRPr="00BA6190" w:rsidRDefault="00BA6190" w:rsidP="00BA6190">
      <w:pPr>
        <w:widowControl w:val="0"/>
        <w:autoSpaceDE w:val="0"/>
        <w:autoSpaceDN w:val="0"/>
        <w:adjustRightInd w:val="0"/>
        <w:snapToGrid w:val="0"/>
        <w:spacing w:after="120" w:line="240" w:lineRule="auto"/>
        <w:ind w:left="364"/>
        <w:rPr>
          <w:rFonts w:ascii="Times New Roman" w:hAnsi="Times New Roman" w:cs="Times New Roman"/>
          <w:b/>
          <w:bCs/>
          <w:sz w:val="24"/>
          <w:szCs w:val="24"/>
        </w:rPr>
      </w:pPr>
    </w:p>
    <w:p w:rsidR="00BA6190" w:rsidRPr="00BA6190" w:rsidRDefault="00BA6190" w:rsidP="00BA6190">
      <w:pPr>
        <w:widowControl w:val="0"/>
        <w:numPr>
          <w:ilvl w:val="0"/>
          <w:numId w:val="24"/>
        </w:numPr>
        <w:autoSpaceDE w:val="0"/>
        <w:autoSpaceDN w:val="0"/>
        <w:adjustRightInd w:val="0"/>
        <w:snapToGrid w:val="0"/>
        <w:spacing w:after="120" w:line="240" w:lineRule="auto"/>
        <w:rPr>
          <w:rFonts w:ascii="Times New Roman" w:hAnsi="Times New Roman" w:cs="Times New Roman"/>
          <w:b/>
          <w:bCs/>
          <w:sz w:val="24"/>
          <w:szCs w:val="24"/>
        </w:rPr>
      </w:pPr>
      <w:r w:rsidRPr="00BA6190">
        <w:rPr>
          <w:rFonts w:ascii="Times New Roman" w:hAnsi="Times New Roman" w:cs="Times New Roman"/>
          <w:b/>
          <w:bCs/>
          <w:sz w:val="24"/>
          <w:szCs w:val="24"/>
        </w:rPr>
        <w:t>РЕЖИМ ЗА ПРЕДОСТАВЯНЕ НА СРЕДСТВАТА</w:t>
      </w:r>
    </w:p>
    <w:p w:rsidR="00BA6190" w:rsidRPr="00BA6190" w:rsidRDefault="00BA6190" w:rsidP="00BA6190">
      <w:pPr>
        <w:widowControl w:val="0"/>
        <w:autoSpaceDE w:val="0"/>
        <w:autoSpaceDN w:val="0"/>
        <w:adjustRightInd w:val="0"/>
        <w:snapToGrid w:val="0"/>
        <w:spacing w:after="120" w:line="240" w:lineRule="auto"/>
        <w:ind w:left="4"/>
        <w:jc w:val="both"/>
        <w:rPr>
          <w:rFonts w:ascii="Times New Roman" w:hAnsi="Times New Roman" w:cs="Times New Roman"/>
          <w:b/>
          <w:sz w:val="24"/>
          <w:szCs w:val="24"/>
        </w:rPr>
      </w:pPr>
      <w:r w:rsidRPr="00BA6190">
        <w:rPr>
          <w:rFonts w:ascii="Times New Roman" w:hAnsi="Times New Roman" w:cs="Times New Roman"/>
          <w:b/>
          <w:sz w:val="24"/>
          <w:szCs w:val="24"/>
        </w:rPr>
        <w:t>3.1 Режим „непомощ“ – помощ извън обхвата на чл. 107, пар. 1 от ДФЕС (помощ, която не е държавна помощ и не е минимална помощ)</w:t>
      </w:r>
    </w:p>
    <w:p w:rsidR="00BA6190" w:rsidRPr="00BA6190" w:rsidRDefault="00BA6190" w:rsidP="00BA6190">
      <w:pPr>
        <w:widowControl w:val="0"/>
        <w:autoSpaceDE w:val="0"/>
        <w:autoSpaceDN w:val="0"/>
        <w:adjustRightInd w:val="0"/>
        <w:snapToGrid w:val="0"/>
        <w:spacing w:after="120" w:line="240" w:lineRule="auto"/>
        <w:ind w:left="4"/>
        <w:jc w:val="both"/>
        <w:rPr>
          <w:rFonts w:ascii="Times New Roman" w:hAnsi="Times New Roman" w:cs="Times New Roman"/>
          <w:sz w:val="24"/>
          <w:szCs w:val="24"/>
        </w:rPr>
      </w:pPr>
      <w:r w:rsidRPr="00BA6190">
        <w:rPr>
          <w:rFonts w:ascii="Times New Roman" w:hAnsi="Times New Roman" w:cs="Times New Roman"/>
          <w:sz w:val="24"/>
          <w:szCs w:val="24"/>
        </w:rPr>
        <w:t xml:space="preserve">В случаите, когато ССО не използват допустимите за финансиране обекти за извършване на стопанска дейност, включително, но не само: не ги отдават под наем или в тях </w:t>
      </w:r>
      <w:r w:rsidRPr="00BA6190">
        <w:rPr>
          <w:rFonts w:ascii="Times New Roman" w:hAnsi="Times New Roman" w:cs="Times New Roman"/>
          <w:color w:val="000000" w:themeColor="text1"/>
          <w:sz w:val="24"/>
          <w:szCs w:val="24"/>
        </w:rPr>
        <w:t xml:space="preserve">не се извършва дейност от търговци и/или лица със свободни професии, ССО те не следва да се считат за получатели </w:t>
      </w:r>
      <w:r w:rsidRPr="00BA6190">
        <w:rPr>
          <w:rFonts w:ascii="Times New Roman" w:hAnsi="Times New Roman" w:cs="Times New Roman"/>
          <w:sz w:val="24"/>
          <w:szCs w:val="24"/>
        </w:rPr>
        <w:t>на държавна и/или минимална помощ (помощ “de minimis”). В този случай към тях не са приложими настоящите условия.</w:t>
      </w:r>
    </w:p>
    <w:p w:rsidR="00BA6190" w:rsidRPr="00BA6190" w:rsidRDefault="00BA6190" w:rsidP="00BA6190">
      <w:pPr>
        <w:snapToGrid w:val="0"/>
        <w:spacing w:after="120" w:line="240" w:lineRule="auto"/>
        <w:jc w:val="both"/>
        <w:rPr>
          <w:rFonts w:ascii="Times New Roman" w:eastAsia="Times New Roman" w:hAnsi="Times New Roman" w:cs="Times New Roman"/>
          <w:sz w:val="24"/>
          <w:szCs w:val="24"/>
          <w:lang w:eastAsia="bg-BG"/>
        </w:rPr>
      </w:pPr>
      <w:r w:rsidRPr="00BA6190">
        <w:rPr>
          <w:rFonts w:ascii="Times New Roman" w:eastAsia="Times New Roman" w:hAnsi="Times New Roman" w:cs="Times New Roman"/>
          <w:color w:val="000000" w:themeColor="text1"/>
          <w:sz w:val="24"/>
          <w:szCs w:val="24"/>
          <w:lang w:eastAsia="bg-BG"/>
        </w:rPr>
        <w:t>Случаите, в които община или държавна институция са собственици на самостоятелни обекти в сграда,  които се използват единствено и само за жилищни нужди, същите не се считат за получатели на минимална помощ (</w:t>
      </w:r>
      <w:r w:rsidRPr="00BA6190">
        <w:rPr>
          <w:rFonts w:ascii="Times New Roman" w:eastAsia="Times New Roman" w:hAnsi="Times New Roman" w:cs="Times New Roman"/>
          <w:sz w:val="24"/>
          <w:szCs w:val="24"/>
          <w:lang w:eastAsia="bg-BG"/>
        </w:rPr>
        <w:t>помощ “de minimis”) и към тях не са приложими условията по т.3.2, ако те не получават приходи от отдаването под наем на тези обекти, доколкото това е допустимо. Без значение, че самостоятелните обекти се използват за жилищни цели, от факта, че помещенията се отдават под наем, следва, че дейността се извършва на съществуващ конкурентен пазар, което предполага наличие на икономическа дейност на общината, съответно на общинското/държавното дружество или държавно предприятие, ако жилищата се управляват от такова. В този случай, общината или дружеството се явява получател на минимална помощ.</w:t>
      </w:r>
    </w:p>
    <w:p w:rsidR="00BA6190" w:rsidRPr="00BA6190" w:rsidRDefault="00BA6190" w:rsidP="00BA6190">
      <w:pPr>
        <w:widowControl w:val="0"/>
        <w:autoSpaceDE w:val="0"/>
        <w:autoSpaceDN w:val="0"/>
        <w:adjustRightInd w:val="0"/>
        <w:snapToGrid w:val="0"/>
        <w:spacing w:after="120" w:line="240" w:lineRule="auto"/>
        <w:ind w:left="4"/>
        <w:jc w:val="both"/>
        <w:rPr>
          <w:rFonts w:ascii="Times New Roman" w:hAnsi="Times New Roman" w:cs="Times New Roman"/>
          <w:b/>
          <w:sz w:val="24"/>
          <w:szCs w:val="24"/>
        </w:rPr>
      </w:pPr>
      <w:r w:rsidRPr="00BA6190">
        <w:rPr>
          <w:rFonts w:ascii="Times New Roman" w:hAnsi="Times New Roman" w:cs="Times New Roman"/>
          <w:b/>
          <w:sz w:val="24"/>
          <w:szCs w:val="24"/>
        </w:rPr>
        <w:t xml:space="preserve">3.2. Режим „минимална помощ“ (помощ „de minimis”) </w:t>
      </w:r>
    </w:p>
    <w:p w:rsidR="00BA6190" w:rsidRPr="00BA6190" w:rsidRDefault="00BA6190" w:rsidP="00BA6190">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r w:rsidRPr="00BA6190">
        <w:rPr>
          <w:rFonts w:ascii="Times New Roman" w:hAnsi="Times New Roman" w:cs="Times New Roman"/>
          <w:sz w:val="24"/>
          <w:szCs w:val="24"/>
        </w:rPr>
        <w:t xml:space="preserve">За целите на Регламент </w:t>
      </w:r>
      <w:r w:rsidRPr="00BA6190">
        <w:rPr>
          <w:rFonts w:ascii="Times New Roman" w:hAnsi="Times New Roman" w:cs="Times New Roman"/>
          <w:color w:val="000000" w:themeColor="text1"/>
          <w:sz w:val="24"/>
          <w:szCs w:val="24"/>
        </w:rPr>
        <w:t>(ЕС) № 1407/2013,</w:t>
      </w:r>
      <w:r w:rsidRPr="00BA6190">
        <w:rPr>
          <w:rFonts w:ascii="Times New Roman" w:hAnsi="Times New Roman" w:cs="Times New Roman"/>
          <w:sz w:val="24"/>
          <w:szCs w:val="24"/>
        </w:rPr>
        <w:t xml:space="preserve"> ССО се явяват „предприятия“, когато реализират приходи от самостоятелните обекти в сградата и извършват икономическа дейност. </w:t>
      </w:r>
    </w:p>
    <w:p w:rsidR="00BA6190" w:rsidRPr="00BA6190" w:rsidRDefault="00BA6190" w:rsidP="00BA6190">
      <w:pPr>
        <w:tabs>
          <w:tab w:val="left" w:pos="426"/>
        </w:tabs>
        <w:snapToGrid w:val="0"/>
        <w:spacing w:after="120" w:line="240" w:lineRule="auto"/>
        <w:jc w:val="both"/>
        <w:rPr>
          <w:rFonts w:ascii="Times New Roman" w:eastAsia="Times New Roman" w:hAnsi="Times New Roman" w:cs="Times New Roman"/>
          <w:sz w:val="24"/>
          <w:szCs w:val="24"/>
          <w:lang w:eastAsia="bg-BG"/>
        </w:rPr>
      </w:pPr>
      <w:r w:rsidRPr="00BA6190">
        <w:rPr>
          <w:rFonts w:ascii="Times New Roman" w:eastAsia="Times New Roman" w:hAnsi="Times New Roman" w:cs="Times New Roman"/>
          <w:sz w:val="24"/>
          <w:szCs w:val="24"/>
        </w:rPr>
        <w:t>Общият принцип, според който Съдът на ЕС</w:t>
      </w:r>
      <w:r w:rsidRPr="00BA6190">
        <w:rPr>
          <w:rFonts w:ascii="Times New Roman" w:eastAsia="Times New Roman" w:hAnsi="Times New Roman" w:cs="Times New Roman"/>
          <w:sz w:val="24"/>
          <w:szCs w:val="24"/>
          <w:vertAlign w:val="superscript"/>
        </w:rPr>
        <w:footnoteReference w:id="1"/>
      </w:r>
      <w:r w:rsidRPr="00BA6190">
        <w:rPr>
          <w:rFonts w:ascii="Times New Roman" w:eastAsia="Times New Roman" w:hAnsi="Times New Roman" w:cs="Times New Roman"/>
          <w:sz w:val="24"/>
          <w:szCs w:val="24"/>
        </w:rPr>
        <w:t xml:space="preserve"> налага последователна практика да определя получателите като „предприятия”, е свързан с извършването на </w:t>
      </w:r>
      <w:r w:rsidRPr="00BA6190">
        <w:rPr>
          <w:rFonts w:ascii="Times New Roman" w:eastAsia="Times New Roman" w:hAnsi="Times New Roman" w:cs="Times New Roman"/>
          <w:i/>
          <w:sz w:val="24"/>
          <w:szCs w:val="24"/>
        </w:rPr>
        <w:t>икономическа дейност</w:t>
      </w:r>
      <w:r w:rsidRPr="00BA6190">
        <w:rPr>
          <w:rFonts w:ascii="Times New Roman" w:eastAsia="Times New Roman" w:hAnsi="Times New Roman" w:cs="Times New Roman"/>
          <w:sz w:val="24"/>
          <w:szCs w:val="24"/>
        </w:rPr>
        <w:t xml:space="preserve"> от тяхна страна, независимо от правната им форма, статут и начин, по който са финансирани, както и реализирането на печалба. </w:t>
      </w:r>
      <w:r w:rsidRPr="00BA6190">
        <w:rPr>
          <w:rFonts w:ascii="Times New Roman" w:eastAsia="Times New Roman" w:hAnsi="Times New Roman" w:cs="Times New Roman"/>
          <w:sz w:val="24"/>
          <w:szCs w:val="24"/>
          <w:lang w:eastAsia="bg-BG"/>
        </w:rPr>
        <w:t xml:space="preserve">Съдът на Европейските общности счита, че всяко лице, ангажирано с икономическа дейност, е в състояние да отговори на дефиницията за предприятие, дори и при липса на преследване на печалба. </w:t>
      </w:r>
    </w:p>
    <w:p w:rsidR="00BA6190" w:rsidRPr="00BA6190" w:rsidRDefault="00BA6190" w:rsidP="00BA6190">
      <w:pPr>
        <w:widowControl w:val="0"/>
        <w:autoSpaceDE w:val="0"/>
        <w:autoSpaceDN w:val="0"/>
        <w:adjustRightInd w:val="0"/>
        <w:snapToGrid w:val="0"/>
        <w:spacing w:after="120" w:line="240" w:lineRule="auto"/>
        <w:ind w:left="4"/>
        <w:jc w:val="both"/>
        <w:rPr>
          <w:rFonts w:ascii="Times New Roman" w:hAnsi="Times New Roman" w:cs="Times New Roman"/>
          <w:bCs/>
          <w:sz w:val="24"/>
          <w:szCs w:val="24"/>
        </w:rPr>
      </w:pPr>
      <w:r w:rsidRPr="00BA6190">
        <w:rPr>
          <w:rFonts w:ascii="Times New Roman" w:hAnsi="Times New Roman" w:cs="Times New Roman"/>
          <w:sz w:val="24"/>
          <w:szCs w:val="24"/>
        </w:rPr>
        <w:t xml:space="preserve">Настоящите условия се прилагат </w:t>
      </w:r>
      <w:r w:rsidRPr="00BA6190">
        <w:rPr>
          <w:rFonts w:ascii="Times New Roman" w:hAnsi="Times New Roman" w:cs="Times New Roman"/>
          <w:bCs/>
          <w:sz w:val="24"/>
          <w:szCs w:val="24"/>
        </w:rPr>
        <w:t xml:space="preserve">към </w:t>
      </w:r>
      <w:r w:rsidRPr="00BA6190">
        <w:rPr>
          <w:rFonts w:ascii="Times New Roman" w:hAnsi="Times New Roman" w:cs="Times New Roman"/>
          <w:color w:val="000000" w:themeColor="text1"/>
          <w:sz w:val="24"/>
          <w:szCs w:val="24"/>
        </w:rPr>
        <w:t xml:space="preserve">ССО, </w:t>
      </w:r>
      <w:r w:rsidRPr="00BA6190">
        <w:rPr>
          <w:rFonts w:ascii="Times New Roman" w:hAnsi="Times New Roman" w:cs="Times New Roman"/>
          <w:bCs/>
          <w:sz w:val="24"/>
          <w:szCs w:val="24"/>
        </w:rPr>
        <w:t xml:space="preserve">допустими за получаване на БФП, в случаите, когато същите извършват някоя от следните дейности: </w:t>
      </w:r>
    </w:p>
    <w:p w:rsidR="00BA6190" w:rsidRPr="00BA6190" w:rsidRDefault="00BA6190" w:rsidP="00BA6190">
      <w:pPr>
        <w:widowControl w:val="0"/>
        <w:numPr>
          <w:ilvl w:val="0"/>
          <w:numId w:val="25"/>
        </w:num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BA6190">
        <w:rPr>
          <w:rFonts w:ascii="Times New Roman" w:hAnsi="Times New Roman" w:cs="Times New Roman"/>
          <w:color w:val="000000" w:themeColor="text1"/>
          <w:sz w:val="24"/>
          <w:szCs w:val="24"/>
        </w:rPr>
        <w:t>самостоятелните обекти в сградата се използват за извършване на стопанска дейност - независимо от предназначението на обекта (жилищно или стопанско), ССО упражняват стопанска/икономическа дейност в обекта си (като например: магазин, фризьорски салон и др.);</w:t>
      </w:r>
    </w:p>
    <w:p w:rsidR="00BA6190" w:rsidRPr="00BA6190" w:rsidRDefault="00BA6190" w:rsidP="00BA6190">
      <w:pPr>
        <w:widowControl w:val="0"/>
        <w:numPr>
          <w:ilvl w:val="0"/>
          <w:numId w:val="25"/>
        </w:num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BA6190">
        <w:rPr>
          <w:rFonts w:ascii="Times New Roman" w:hAnsi="Times New Roman" w:cs="Times New Roman"/>
          <w:color w:val="000000" w:themeColor="text1"/>
          <w:sz w:val="24"/>
          <w:szCs w:val="24"/>
        </w:rPr>
        <w:t>самостоятелните обекти в сградата се отдават под наем - за жилищни или нежилищни цели (офис, ателие и др.);</w:t>
      </w:r>
    </w:p>
    <w:p w:rsidR="00BA6190" w:rsidRPr="00BA6190" w:rsidRDefault="00BA6190" w:rsidP="00BA6190">
      <w:pPr>
        <w:widowControl w:val="0"/>
        <w:numPr>
          <w:ilvl w:val="0"/>
          <w:numId w:val="25"/>
        </w:num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BA6190">
        <w:rPr>
          <w:rFonts w:ascii="Times New Roman" w:hAnsi="Times New Roman" w:cs="Times New Roman"/>
          <w:color w:val="000000" w:themeColor="text1"/>
          <w:sz w:val="24"/>
          <w:szCs w:val="24"/>
        </w:rPr>
        <w:lastRenderedPageBreak/>
        <w:t>в самостоятелните обекти в сградата се извършва дейност от търговци и/или лица със свободни професии;</w:t>
      </w:r>
    </w:p>
    <w:p w:rsidR="00BA6190" w:rsidRPr="00BA6190" w:rsidRDefault="00BA6190" w:rsidP="00BA6190">
      <w:pPr>
        <w:widowControl w:val="0"/>
        <w:numPr>
          <w:ilvl w:val="0"/>
          <w:numId w:val="25"/>
        </w:num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BA6190">
        <w:rPr>
          <w:rFonts w:ascii="Times New Roman" w:hAnsi="Times New Roman" w:cs="Times New Roman"/>
          <w:color w:val="000000" w:themeColor="text1"/>
          <w:sz w:val="24"/>
          <w:szCs w:val="24"/>
        </w:rPr>
        <w:t>други стопански дейности.</w:t>
      </w:r>
    </w:p>
    <w:p w:rsidR="00BA6190" w:rsidRPr="00BA6190" w:rsidRDefault="00BA6190" w:rsidP="00BA6190">
      <w:pPr>
        <w:snapToGrid w:val="0"/>
        <w:spacing w:after="120" w:line="240" w:lineRule="auto"/>
        <w:jc w:val="both"/>
        <w:rPr>
          <w:rFonts w:ascii="Times New Roman" w:eastAsia="Times New Roman" w:hAnsi="Times New Roman" w:cs="Times New Roman"/>
          <w:sz w:val="24"/>
          <w:szCs w:val="24"/>
          <w:lang w:eastAsia="bg-BG"/>
        </w:rPr>
      </w:pPr>
      <w:r w:rsidRPr="00BA6190">
        <w:rPr>
          <w:rFonts w:ascii="Times New Roman" w:eastAsia="Times New Roman" w:hAnsi="Times New Roman" w:cs="Times New Roman"/>
          <w:sz w:val="24"/>
          <w:szCs w:val="24"/>
          <w:lang w:eastAsia="bg-BG"/>
        </w:rPr>
        <w:t xml:space="preserve">В тези случаи, ССО се считат за получатели на минимална помощ и към тях следва да се прилагат условията на </w:t>
      </w:r>
      <w:r w:rsidRPr="00BA6190">
        <w:rPr>
          <w:rFonts w:ascii="Times New Roman" w:eastAsia="Times New Roman" w:hAnsi="Times New Roman" w:cs="Times New Roman"/>
          <w:color w:val="000000" w:themeColor="text1"/>
          <w:sz w:val="24"/>
          <w:szCs w:val="24"/>
          <w:lang w:eastAsia="bg-BG"/>
        </w:rPr>
        <w:t xml:space="preserve">Регламент (ЕС) № 1407/2013. </w:t>
      </w:r>
    </w:p>
    <w:p w:rsidR="00BA6190" w:rsidRPr="00BA6190" w:rsidRDefault="00BA6190" w:rsidP="00BA6190">
      <w:pPr>
        <w:snapToGrid w:val="0"/>
        <w:spacing w:after="120" w:line="240" w:lineRule="auto"/>
        <w:jc w:val="both"/>
        <w:rPr>
          <w:rFonts w:ascii="Times New Roman" w:eastAsia="Times New Roman" w:hAnsi="Times New Roman" w:cs="Times New Roman"/>
          <w:sz w:val="24"/>
          <w:szCs w:val="24"/>
          <w:lang w:eastAsia="bg-BG"/>
        </w:rPr>
      </w:pPr>
      <w:r w:rsidRPr="00BA6190">
        <w:rPr>
          <w:rFonts w:ascii="Times New Roman" w:eastAsia="Times New Roman" w:hAnsi="Times New Roman" w:cs="Times New Roman"/>
          <w:sz w:val="24"/>
          <w:szCs w:val="24"/>
          <w:lang w:eastAsia="bg-BG"/>
        </w:rPr>
        <w:t xml:space="preserve">Случаите, в които юридически лица-търговци са собственици на самостоятелни обекти в сграда, </w:t>
      </w:r>
      <w:r w:rsidRPr="00BA6190">
        <w:rPr>
          <w:rFonts w:ascii="Times New Roman" w:eastAsia="Times New Roman" w:hAnsi="Times New Roman" w:cs="Times New Roman"/>
          <w:color w:val="000000" w:themeColor="text1"/>
          <w:sz w:val="24"/>
          <w:szCs w:val="24"/>
          <w:lang w:eastAsia="bg-BG"/>
        </w:rPr>
        <w:t>предмет на интервенция по проект за енергийна ефективност на жилищни сради</w:t>
      </w:r>
      <w:r w:rsidRPr="00BA6190">
        <w:rPr>
          <w:rFonts w:ascii="Times New Roman" w:eastAsia="Times New Roman" w:hAnsi="Times New Roman" w:cs="Times New Roman"/>
          <w:sz w:val="24"/>
          <w:szCs w:val="24"/>
          <w:lang w:eastAsia="bg-BG"/>
        </w:rPr>
        <w:t xml:space="preserve">, финансирани по Инвестиционен приоритет 1, същите се считат за получатели на минимална помощ (помощ “de minimis”) и към тях са приложими настоящите условия. </w:t>
      </w:r>
    </w:p>
    <w:p w:rsidR="00BA6190" w:rsidRPr="00BA6190" w:rsidRDefault="00BA6190" w:rsidP="00BA6190">
      <w:pPr>
        <w:snapToGrid w:val="0"/>
        <w:spacing w:after="120" w:line="240" w:lineRule="auto"/>
        <w:jc w:val="both"/>
        <w:rPr>
          <w:rFonts w:ascii="Times New Roman" w:eastAsia="Times New Roman" w:hAnsi="Times New Roman" w:cs="Times New Roman"/>
          <w:sz w:val="24"/>
          <w:szCs w:val="24"/>
          <w:lang w:eastAsia="bg-BG"/>
        </w:rPr>
      </w:pPr>
      <w:r w:rsidRPr="00BA6190">
        <w:rPr>
          <w:rFonts w:ascii="Times New Roman" w:eastAsia="Times New Roman" w:hAnsi="Times New Roman" w:cs="Times New Roman"/>
          <w:sz w:val="24"/>
          <w:szCs w:val="24"/>
          <w:lang w:eastAsia="bg-BG"/>
        </w:rPr>
        <w:t>Когато самостоятелни обекти в сграда са собственост на общината/държавни ведомства и се отдават под наем за жилищно или нежилищно ползване, следва да се има предвид следното:</w:t>
      </w:r>
    </w:p>
    <w:p w:rsidR="00BA6190" w:rsidRPr="00BA6190" w:rsidRDefault="00BA6190" w:rsidP="00BA6190">
      <w:pPr>
        <w:snapToGrid w:val="0"/>
        <w:spacing w:after="120" w:line="240" w:lineRule="auto"/>
        <w:jc w:val="both"/>
        <w:rPr>
          <w:rFonts w:ascii="Times New Roman" w:eastAsia="Times New Roman" w:hAnsi="Times New Roman" w:cs="Times New Roman"/>
          <w:sz w:val="24"/>
          <w:szCs w:val="24"/>
          <w:lang w:val="en-US" w:eastAsia="bg-BG"/>
        </w:rPr>
      </w:pPr>
      <w:r w:rsidRPr="00BA6190">
        <w:rPr>
          <w:rFonts w:ascii="Times New Roman" w:eastAsia="Times New Roman" w:hAnsi="Times New Roman" w:cs="Times New Roman"/>
          <w:sz w:val="24"/>
          <w:szCs w:val="24"/>
          <w:lang w:eastAsia="bg-BG"/>
        </w:rPr>
        <w:t>Отдаването под наем на самостоятелен обект/и, собственост на община/държавно ведомство, представлява икономическа дейност за последните. Предвид това, в случай че общината/държавното ведомство разделя (в структурен и финансов аспект) икономическата от неикономическата си дейност, то режимът на минималните помощи е приложим само по отношение на икономическата им дейност. За целта, общината/държавното ведомство следва да води аналитична счетоводна отчетност по видове дейности, в резултат на която да е налице ясно разделяне/разграничаване на нейните/неговите приходи, разходи, активи и пасиви от икономическата и неикономическата дейности. В този смисъл, общината/държавното ведомство се явява получател на минимална помощ и към нея/него следва да се прилагат правилата на Регламент (ЕС) № 1407/2013. Когато самостоятелният обект в сграда се управлява посредством общинско/държавно дружество или държавно предприятие, последните се считат за получатели на минимална помощ, независимо от предназначението на обектите.</w:t>
      </w:r>
    </w:p>
    <w:p w:rsidR="00BA6190" w:rsidRPr="00BA6190" w:rsidRDefault="00BA6190" w:rsidP="00BA6190">
      <w:pPr>
        <w:snapToGrid w:val="0"/>
        <w:spacing w:after="120" w:line="240" w:lineRule="auto"/>
        <w:jc w:val="both"/>
        <w:rPr>
          <w:rFonts w:ascii="Times New Roman" w:eastAsia="Times New Roman" w:hAnsi="Times New Roman" w:cs="Times New Roman"/>
          <w:sz w:val="24"/>
          <w:szCs w:val="24"/>
          <w:lang w:eastAsia="bg-BG"/>
        </w:rPr>
      </w:pPr>
      <w:r w:rsidRPr="00BA6190">
        <w:rPr>
          <w:rFonts w:ascii="Times New Roman" w:eastAsia="Times New Roman" w:hAnsi="Times New Roman" w:cs="Times New Roman"/>
          <w:sz w:val="24"/>
          <w:szCs w:val="24"/>
          <w:lang w:eastAsia="bg-BG"/>
        </w:rPr>
        <w:t>Ако икономическата дейност на общината/държавното ведомство е неделима от неикономическата, както и ако икономическата дейност е незначителна (по обхват и стойност) спрямо дейността с неикономически характер, то всички дейности, извършвани от общината/държавното ведомство, се приемат за свързани с упражняването на властническите правомощия на общината/държавното ведомство като органи на публичната власт. Поради това, за общината/държавното ведомство може да се приеме, че е извън обхвата на понятието за предприятие по смисъла на режима за държавните и минималните помощи. Следователно, в този случай общината/държавното ведомство се счита за субект, към който не са приложими правилата за държавните и минималните помощи. Такава хипотеза се явява и когато общината притежава самостоятелни обекти, които се използват единствено и само за жилищни нужди, като напр. защитени жилища, за бездомни и социално слаби и т.н.</w:t>
      </w:r>
    </w:p>
    <w:p w:rsidR="00BA6190" w:rsidRPr="00BA6190" w:rsidRDefault="00BA6190" w:rsidP="00BA6190">
      <w:pPr>
        <w:snapToGrid w:val="0"/>
        <w:spacing w:after="120" w:line="240" w:lineRule="auto"/>
        <w:jc w:val="both"/>
        <w:rPr>
          <w:rFonts w:ascii="Times New Roman" w:eastAsia="Times New Roman" w:hAnsi="Times New Roman" w:cs="Times New Roman"/>
          <w:sz w:val="24"/>
          <w:szCs w:val="24"/>
          <w:lang w:eastAsia="bg-BG"/>
        </w:rPr>
      </w:pPr>
    </w:p>
    <w:p w:rsidR="00BA6190" w:rsidRPr="00BA6190" w:rsidRDefault="00BA6190" w:rsidP="00BA6190">
      <w:pPr>
        <w:widowControl w:val="0"/>
        <w:autoSpaceDE w:val="0"/>
        <w:autoSpaceDN w:val="0"/>
        <w:adjustRightInd w:val="0"/>
        <w:snapToGrid w:val="0"/>
        <w:spacing w:after="120" w:line="240" w:lineRule="auto"/>
        <w:ind w:left="4"/>
        <w:jc w:val="both"/>
        <w:rPr>
          <w:rFonts w:ascii="Times New Roman" w:hAnsi="Times New Roman" w:cs="Times New Roman"/>
          <w:b/>
          <w:sz w:val="24"/>
          <w:szCs w:val="24"/>
        </w:rPr>
      </w:pPr>
      <w:r w:rsidRPr="00BA6190">
        <w:rPr>
          <w:rFonts w:ascii="Times New Roman" w:hAnsi="Times New Roman" w:cs="Times New Roman"/>
          <w:b/>
          <w:sz w:val="24"/>
          <w:szCs w:val="24"/>
        </w:rPr>
        <w:t>3.2.1. Компоненти в режим „минимална помощ“</w:t>
      </w:r>
    </w:p>
    <w:p w:rsidR="00BA6190" w:rsidRPr="00BA6190" w:rsidRDefault="00BA6190" w:rsidP="00BA6190">
      <w:pPr>
        <w:widowControl w:val="0"/>
        <w:autoSpaceDE w:val="0"/>
        <w:autoSpaceDN w:val="0"/>
        <w:adjustRightInd w:val="0"/>
        <w:snapToGrid w:val="0"/>
        <w:spacing w:after="120" w:line="240" w:lineRule="auto"/>
        <w:ind w:left="4"/>
        <w:jc w:val="both"/>
        <w:rPr>
          <w:rFonts w:ascii="Times New Roman" w:hAnsi="Times New Roman" w:cs="Times New Roman"/>
          <w:sz w:val="24"/>
          <w:szCs w:val="24"/>
        </w:rPr>
      </w:pPr>
      <w:r w:rsidRPr="00BA6190">
        <w:rPr>
          <w:rFonts w:ascii="Times New Roman" w:hAnsi="Times New Roman" w:cs="Times New Roman"/>
          <w:sz w:val="24"/>
          <w:szCs w:val="24"/>
        </w:rPr>
        <w:lastRenderedPageBreak/>
        <w:t xml:space="preserve">В зависимост от изискванията на Регламент </w:t>
      </w:r>
      <w:r w:rsidRPr="00BA6190">
        <w:rPr>
          <w:rFonts w:ascii="Times New Roman" w:hAnsi="Times New Roman" w:cs="Times New Roman"/>
          <w:color w:val="000000" w:themeColor="text1"/>
          <w:sz w:val="24"/>
          <w:szCs w:val="24"/>
        </w:rPr>
        <w:t>(ЕС) № 1407/2013, се обособяват два компонента при</w:t>
      </w:r>
      <w:r w:rsidRPr="00BA6190">
        <w:rPr>
          <w:rFonts w:ascii="Times New Roman" w:hAnsi="Times New Roman" w:cs="Times New Roman"/>
          <w:sz w:val="24"/>
          <w:szCs w:val="24"/>
        </w:rPr>
        <w:t xml:space="preserve"> предоставяне на средствата</w:t>
      </w:r>
      <w:r w:rsidRPr="00BA6190">
        <w:rPr>
          <w:rFonts w:ascii="Times New Roman" w:hAnsi="Times New Roman" w:cs="Times New Roman"/>
          <w:color w:val="000000" w:themeColor="text1"/>
          <w:sz w:val="24"/>
          <w:szCs w:val="24"/>
        </w:rPr>
        <w:t xml:space="preserve"> и приложими към ССО</w:t>
      </w:r>
      <w:r w:rsidRPr="00BA6190">
        <w:rPr>
          <w:rFonts w:ascii="Times New Roman" w:hAnsi="Times New Roman" w:cs="Times New Roman"/>
          <w:sz w:val="24"/>
          <w:szCs w:val="24"/>
        </w:rPr>
        <w:t>:</w:t>
      </w:r>
    </w:p>
    <w:p w:rsidR="00BA6190" w:rsidRPr="00BA6190" w:rsidRDefault="00BA6190" w:rsidP="00BA6190">
      <w:pPr>
        <w:widowControl w:val="0"/>
        <w:numPr>
          <w:ilvl w:val="0"/>
          <w:numId w:val="23"/>
        </w:numPr>
        <w:overflowPunct w:val="0"/>
        <w:autoSpaceDE w:val="0"/>
        <w:autoSpaceDN w:val="0"/>
        <w:adjustRightInd w:val="0"/>
        <w:snapToGrid w:val="0"/>
        <w:spacing w:after="120" w:line="240" w:lineRule="auto"/>
        <w:ind w:left="709" w:hanging="304"/>
        <w:jc w:val="both"/>
        <w:rPr>
          <w:rFonts w:ascii="Times New Roman" w:hAnsi="Times New Roman" w:cs="Times New Roman"/>
          <w:bCs/>
          <w:sz w:val="24"/>
          <w:szCs w:val="24"/>
        </w:rPr>
      </w:pPr>
      <w:r w:rsidRPr="00BA6190">
        <w:rPr>
          <w:rFonts w:ascii="Times New Roman" w:hAnsi="Times New Roman" w:cs="Times New Roman"/>
          <w:b/>
          <w:bCs/>
          <w:sz w:val="24"/>
          <w:szCs w:val="24"/>
        </w:rPr>
        <w:t xml:space="preserve">Компонент I – ССО, попадащи в обхвата на режим „de minimis” </w:t>
      </w:r>
      <w:r w:rsidRPr="00BA6190">
        <w:rPr>
          <w:rFonts w:ascii="Times New Roman" w:hAnsi="Times New Roman" w:cs="Times New Roman"/>
          <w:bCs/>
          <w:sz w:val="24"/>
          <w:szCs w:val="24"/>
        </w:rPr>
        <w:t xml:space="preserve">– всички ССО, които отговарят на някое от условията, изброени в т. 3.2 и изпълняващи изискванията на </w:t>
      </w:r>
      <w:r w:rsidRPr="00BA6190">
        <w:rPr>
          <w:rFonts w:ascii="Times New Roman" w:hAnsi="Times New Roman" w:cs="Times New Roman"/>
          <w:color w:val="000000" w:themeColor="text1"/>
          <w:sz w:val="24"/>
          <w:szCs w:val="24"/>
        </w:rPr>
        <w:t>Регламент (ЕС) № 1407/2013.</w:t>
      </w:r>
    </w:p>
    <w:p w:rsidR="00BA6190" w:rsidRPr="00BA6190" w:rsidRDefault="00BA6190" w:rsidP="00BA6190">
      <w:pPr>
        <w:numPr>
          <w:ilvl w:val="0"/>
          <w:numId w:val="23"/>
        </w:numPr>
        <w:snapToGrid w:val="0"/>
        <w:spacing w:after="120" w:line="240" w:lineRule="auto"/>
        <w:jc w:val="both"/>
        <w:rPr>
          <w:rFonts w:ascii="Times New Roman" w:hAnsi="Times New Roman" w:cs="Times New Roman"/>
          <w:b/>
          <w:bCs/>
          <w:sz w:val="24"/>
          <w:szCs w:val="24"/>
        </w:rPr>
      </w:pPr>
      <w:r w:rsidRPr="00BA6190">
        <w:rPr>
          <w:rFonts w:ascii="Times New Roman" w:hAnsi="Times New Roman" w:cs="Times New Roman"/>
          <w:b/>
          <w:bCs/>
          <w:sz w:val="24"/>
          <w:szCs w:val="24"/>
        </w:rPr>
        <w:t xml:space="preserve">Компонент II – ССО, попадащи извън обхвата на режим “de minimis” </w:t>
      </w:r>
      <w:r w:rsidRPr="00BA6190">
        <w:rPr>
          <w:rFonts w:ascii="Times New Roman" w:hAnsi="Times New Roman" w:cs="Times New Roman"/>
          <w:bCs/>
          <w:sz w:val="24"/>
          <w:szCs w:val="24"/>
        </w:rPr>
        <w:t xml:space="preserve">– </w:t>
      </w:r>
      <w:r w:rsidRPr="00BA6190">
        <w:rPr>
          <w:rFonts w:ascii="Times New Roman" w:eastAsia="Times New Roman" w:hAnsi="Times New Roman" w:cs="Times New Roman"/>
          <w:bCs/>
          <w:sz w:val="24"/>
          <w:szCs w:val="24"/>
          <w:lang w:eastAsia="bg-BG"/>
        </w:rPr>
        <w:t xml:space="preserve">всички ССО, които отговарят на някое от условията, изброени в т. 3.2, но не изпълняващи изискванията на </w:t>
      </w:r>
      <w:r w:rsidRPr="00BA6190">
        <w:rPr>
          <w:rFonts w:ascii="Times New Roman" w:eastAsia="Times New Roman" w:hAnsi="Times New Roman" w:cs="Times New Roman"/>
          <w:color w:val="000000" w:themeColor="text1"/>
          <w:sz w:val="24"/>
          <w:szCs w:val="24"/>
          <w:lang w:eastAsia="bg-BG"/>
        </w:rPr>
        <w:t xml:space="preserve">Регламент (ЕС) № 1407/2013. </w:t>
      </w:r>
    </w:p>
    <w:p w:rsidR="00BA6190" w:rsidRPr="00BA6190" w:rsidRDefault="00BA6190" w:rsidP="00BA6190">
      <w:pPr>
        <w:snapToGrid w:val="0"/>
        <w:spacing w:after="120" w:line="240" w:lineRule="auto"/>
        <w:jc w:val="both"/>
        <w:rPr>
          <w:rFonts w:ascii="Times New Roman" w:hAnsi="Times New Roman" w:cs="Times New Roman"/>
          <w:sz w:val="24"/>
          <w:szCs w:val="24"/>
        </w:rPr>
      </w:pPr>
      <w:r w:rsidRPr="00BA6190">
        <w:rPr>
          <w:rFonts w:ascii="Times New Roman" w:hAnsi="Times New Roman" w:cs="Times New Roman"/>
          <w:sz w:val="24"/>
          <w:szCs w:val="24"/>
        </w:rPr>
        <w:t xml:space="preserve">Получателите на БФП, в зависимост от това в кой от двата компонента попадат, следва да спазват условията на съответния компонент. </w:t>
      </w:r>
    </w:p>
    <w:p w:rsidR="00BA6190" w:rsidRPr="00BA6190" w:rsidRDefault="00BA6190" w:rsidP="00BA6190">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p>
    <w:p w:rsidR="00BA6190" w:rsidRPr="00BA6190" w:rsidRDefault="00BA6190" w:rsidP="00BA6190">
      <w:pPr>
        <w:widowControl w:val="0"/>
        <w:numPr>
          <w:ilvl w:val="0"/>
          <w:numId w:val="24"/>
        </w:numPr>
        <w:autoSpaceDE w:val="0"/>
        <w:autoSpaceDN w:val="0"/>
        <w:adjustRightInd w:val="0"/>
        <w:snapToGrid w:val="0"/>
        <w:spacing w:after="120" w:line="240" w:lineRule="auto"/>
        <w:rPr>
          <w:rFonts w:ascii="Times New Roman" w:hAnsi="Times New Roman" w:cs="Times New Roman"/>
          <w:b/>
          <w:bCs/>
          <w:sz w:val="24"/>
          <w:szCs w:val="24"/>
        </w:rPr>
      </w:pPr>
      <w:r w:rsidRPr="00BA6190">
        <w:rPr>
          <w:rFonts w:ascii="Times New Roman" w:hAnsi="Times New Roman" w:cs="Times New Roman"/>
          <w:b/>
          <w:bCs/>
          <w:sz w:val="24"/>
          <w:szCs w:val="24"/>
        </w:rPr>
        <w:t xml:space="preserve"> ПРИЛОЖЕНИЕ НА КОМПОНЕНТ I</w:t>
      </w:r>
    </w:p>
    <w:p w:rsidR="00BA6190" w:rsidRPr="00BA6190" w:rsidRDefault="00BA6190" w:rsidP="00BA6190">
      <w:pPr>
        <w:widowControl w:val="0"/>
        <w:autoSpaceDE w:val="0"/>
        <w:autoSpaceDN w:val="0"/>
        <w:adjustRightInd w:val="0"/>
        <w:snapToGrid w:val="0"/>
        <w:spacing w:after="120" w:line="240" w:lineRule="auto"/>
        <w:ind w:left="4"/>
        <w:jc w:val="both"/>
        <w:rPr>
          <w:rFonts w:ascii="Times New Roman" w:hAnsi="Times New Roman" w:cs="Times New Roman"/>
          <w:bCs/>
          <w:sz w:val="24"/>
          <w:szCs w:val="24"/>
        </w:rPr>
      </w:pPr>
      <w:r w:rsidRPr="00BA6190">
        <w:rPr>
          <w:rFonts w:ascii="Times New Roman" w:hAnsi="Times New Roman" w:cs="Times New Roman"/>
          <w:bCs/>
          <w:sz w:val="24"/>
          <w:szCs w:val="24"/>
        </w:rPr>
        <w:t xml:space="preserve">Съгласно описаните в т. 3.2.1 компоненти, следва да се има предвид, че Компонент I се прилага към всички </w:t>
      </w:r>
      <w:r w:rsidRPr="00BA6190">
        <w:rPr>
          <w:rFonts w:ascii="Times New Roman" w:hAnsi="Times New Roman" w:cs="Times New Roman"/>
          <w:color w:val="000000" w:themeColor="text1"/>
          <w:sz w:val="24"/>
          <w:szCs w:val="24"/>
        </w:rPr>
        <w:t xml:space="preserve">ССО, </w:t>
      </w:r>
      <w:r w:rsidRPr="00BA6190">
        <w:rPr>
          <w:rFonts w:ascii="Times New Roman" w:hAnsi="Times New Roman" w:cs="Times New Roman"/>
          <w:bCs/>
          <w:sz w:val="24"/>
          <w:szCs w:val="24"/>
        </w:rPr>
        <w:t xml:space="preserve">допустими за получаване на БФП, които отговарят на някое от условията в т. 3.2  и изпълняват изискванията на </w:t>
      </w:r>
      <w:r w:rsidRPr="00BA6190">
        <w:rPr>
          <w:rFonts w:ascii="Times New Roman" w:hAnsi="Times New Roman" w:cs="Times New Roman"/>
          <w:color w:val="000000" w:themeColor="text1"/>
          <w:sz w:val="24"/>
          <w:szCs w:val="24"/>
        </w:rPr>
        <w:t xml:space="preserve">Регламент (ЕС) № 1407/2013. </w:t>
      </w:r>
    </w:p>
    <w:p w:rsidR="00BA6190" w:rsidRPr="00BA6190" w:rsidRDefault="00BA6190" w:rsidP="00BA6190">
      <w:pPr>
        <w:widowControl w:val="0"/>
        <w:numPr>
          <w:ilvl w:val="1"/>
          <w:numId w:val="24"/>
        </w:numPr>
        <w:overflowPunct w:val="0"/>
        <w:autoSpaceDE w:val="0"/>
        <w:autoSpaceDN w:val="0"/>
        <w:adjustRightInd w:val="0"/>
        <w:snapToGrid w:val="0"/>
        <w:spacing w:after="120" w:line="240" w:lineRule="auto"/>
        <w:jc w:val="both"/>
        <w:rPr>
          <w:rFonts w:ascii="Times New Roman" w:hAnsi="Times New Roman" w:cs="Times New Roman"/>
          <w:b/>
          <w:sz w:val="24"/>
          <w:szCs w:val="24"/>
        </w:rPr>
      </w:pPr>
      <w:r w:rsidRPr="00BA6190">
        <w:rPr>
          <w:rFonts w:ascii="Times New Roman" w:hAnsi="Times New Roman" w:cs="Times New Roman"/>
          <w:b/>
          <w:sz w:val="24"/>
          <w:szCs w:val="24"/>
        </w:rPr>
        <w:t xml:space="preserve"> Критерии за недопустимост съгласно Регламент (ЕС) № 1407/2013</w:t>
      </w:r>
    </w:p>
    <w:p w:rsidR="00BA6190" w:rsidRPr="00BA6190" w:rsidRDefault="00BA6190" w:rsidP="00BA6190">
      <w:pPr>
        <w:widowControl w:val="0"/>
        <w:overflowPunct w:val="0"/>
        <w:autoSpaceDE w:val="0"/>
        <w:autoSpaceDN w:val="0"/>
        <w:adjustRightInd w:val="0"/>
        <w:snapToGrid w:val="0"/>
        <w:spacing w:after="120" w:line="240" w:lineRule="auto"/>
        <w:ind w:left="4"/>
        <w:jc w:val="both"/>
        <w:rPr>
          <w:rFonts w:ascii="Times New Roman" w:hAnsi="Times New Roman" w:cs="Times New Roman"/>
          <w:sz w:val="24"/>
          <w:szCs w:val="24"/>
        </w:rPr>
      </w:pPr>
      <w:r w:rsidRPr="00BA6190">
        <w:rPr>
          <w:rFonts w:ascii="Times New Roman" w:hAnsi="Times New Roman" w:cs="Times New Roman"/>
          <w:sz w:val="24"/>
          <w:szCs w:val="24"/>
        </w:rPr>
        <w:t xml:space="preserve">Основно изискване към потенциалните получатели (ССО) е, че същите </w:t>
      </w:r>
      <w:r w:rsidRPr="00BA6190">
        <w:rPr>
          <w:rFonts w:ascii="Times New Roman" w:hAnsi="Times New Roman" w:cs="Times New Roman"/>
          <w:b/>
          <w:sz w:val="24"/>
          <w:szCs w:val="24"/>
        </w:rPr>
        <w:t>не могат да получат БФП</w:t>
      </w:r>
      <w:r w:rsidRPr="00BA6190">
        <w:rPr>
          <w:rFonts w:ascii="Times New Roman" w:hAnsi="Times New Roman" w:cs="Times New Roman"/>
          <w:sz w:val="24"/>
          <w:szCs w:val="24"/>
        </w:rPr>
        <w:t xml:space="preserve">, в случай че попадат в забранителното поле на Регламент </w:t>
      </w:r>
      <w:r w:rsidRPr="00BA6190">
        <w:rPr>
          <w:rFonts w:ascii="Times New Roman" w:hAnsi="Times New Roman" w:cs="Times New Roman"/>
          <w:color w:val="000000" w:themeColor="text1"/>
          <w:sz w:val="24"/>
          <w:szCs w:val="24"/>
        </w:rPr>
        <w:t>(ЕС) № 1407/2013</w:t>
      </w:r>
      <w:r w:rsidRPr="00BA6190">
        <w:rPr>
          <w:rFonts w:ascii="Times New Roman" w:hAnsi="Times New Roman" w:cs="Times New Roman"/>
          <w:sz w:val="24"/>
          <w:szCs w:val="24"/>
        </w:rPr>
        <w:t xml:space="preserve"> и конкретно тяхната основна дейност или помощта, за която</w:t>
      </w:r>
      <w:r w:rsidRPr="00BA6190">
        <w:rPr>
          <w:rFonts w:ascii="Times New Roman" w:hAnsi="Times New Roman" w:cs="Times New Roman"/>
          <w:b/>
          <w:bCs/>
          <w:sz w:val="24"/>
          <w:szCs w:val="24"/>
        </w:rPr>
        <w:t xml:space="preserve"> </w:t>
      </w:r>
      <w:r w:rsidRPr="00BA6190">
        <w:rPr>
          <w:rFonts w:ascii="Times New Roman" w:hAnsi="Times New Roman" w:cs="Times New Roman"/>
          <w:sz w:val="24"/>
          <w:szCs w:val="24"/>
        </w:rPr>
        <w:t>кандидатстват за финансиране се отнася до (може да се свърже с):</w:t>
      </w:r>
    </w:p>
    <w:p w:rsidR="00BA6190" w:rsidRPr="00BA6190" w:rsidRDefault="00BA6190" w:rsidP="00BA6190">
      <w:pPr>
        <w:widowControl w:val="0"/>
        <w:overflowPunct w:val="0"/>
        <w:autoSpaceDE w:val="0"/>
        <w:autoSpaceDN w:val="0"/>
        <w:adjustRightInd w:val="0"/>
        <w:snapToGrid w:val="0"/>
        <w:spacing w:after="120" w:line="240" w:lineRule="auto"/>
        <w:ind w:left="851" w:hanging="425"/>
        <w:jc w:val="both"/>
        <w:rPr>
          <w:rFonts w:ascii="Times New Roman" w:hAnsi="Times New Roman" w:cs="Times New Roman"/>
          <w:sz w:val="24"/>
          <w:szCs w:val="24"/>
        </w:rPr>
      </w:pPr>
      <w:r w:rsidRPr="00BA6190">
        <w:rPr>
          <w:rFonts w:ascii="Times New Roman" w:hAnsi="Times New Roman" w:cs="Times New Roman"/>
          <w:sz w:val="24"/>
          <w:szCs w:val="24"/>
        </w:rPr>
        <w:t xml:space="preserve">а) </w:t>
      </w:r>
      <w:r w:rsidRPr="00BA6190">
        <w:rPr>
          <w:rFonts w:ascii="Times New Roman" w:hAnsi="Times New Roman" w:cs="Times New Roman"/>
          <w:sz w:val="24"/>
          <w:szCs w:val="24"/>
        </w:rPr>
        <w:tab/>
        <w:t>помощи, предоставяни в сектора на рибарството и аквакултурите, обхванати от Регламент (ЕО) № 104/2000 на Съвета</w:t>
      </w:r>
      <w:r w:rsidRPr="00BA6190">
        <w:rPr>
          <w:rFonts w:ascii="Times New Roman" w:hAnsi="Times New Roman" w:cs="Times New Roman"/>
          <w:sz w:val="24"/>
          <w:szCs w:val="24"/>
          <w:vertAlign w:val="superscript"/>
        </w:rPr>
        <w:footnoteReference w:id="2"/>
      </w:r>
      <w:r w:rsidRPr="00BA6190">
        <w:rPr>
          <w:rFonts w:ascii="Times New Roman" w:hAnsi="Times New Roman" w:cs="Times New Roman"/>
          <w:sz w:val="24"/>
          <w:szCs w:val="24"/>
        </w:rPr>
        <w:t>;</w:t>
      </w:r>
    </w:p>
    <w:p w:rsidR="00BA6190" w:rsidRPr="00BA6190" w:rsidRDefault="00BA6190" w:rsidP="00BA6190">
      <w:pPr>
        <w:widowControl w:val="0"/>
        <w:overflowPunct w:val="0"/>
        <w:autoSpaceDE w:val="0"/>
        <w:autoSpaceDN w:val="0"/>
        <w:adjustRightInd w:val="0"/>
        <w:snapToGrid w:val="0"/>
        <w:spacing w:after="120" w:line="240" w:lineRule="auto"/>
        <w:ind w:left="851" w:hanging="425"/>
        <w:jc w:val="both"/>
        <w:rPr>
          <w:rFonts w:ascii="Times New Roman" w:hAnsi="Times New Roman" w:cs="Times New Roman"/>
          <w:sz w:val="24"/>
          <w:szCs w:val="24"/>
        </w:rPr>
      </w:pPr>
      <w:r w:rsidRPr="00BA6190">
        <w:rPr>
          <w:rFonts w:ascii="Times New Roman" w:hAnsi="Times New Roman" w:cs="Times New Roman"/>
          <w:sz w:val="24"/>
          <w:szCs w:val="24"/>
        </w:rPr>
        <w:t xml:space="preserve">б) </w:t>
      </w:r>
      <w:r w:rsidRPr="00BA6190">
        <w:rPr>
          <w:rFonts w:ascii="Times New Roman" w:hAnsi="Times New Roman" w:cs="Times New Roman"/>
          <w:sz w:val="24"/>
          <w:szCs w:val="24"/>
        </w:rPr>
        <w:tab/>
        <w:t>помощи, предоставяни на предприятия, които извършват дейност в областта на първичното производство на селскостопански продукти;</w:t>
      </w:r>
    </w:p>
    <w:p w:rsidR="00BA6190" w:rsidRPr="00BA6190" w:rsidRDefault="00BA6190" w:rsidP="00BA6190">
      <w:pPr>
        <w:widowControl w:val="0"/>
        <w:overflowPunct w:val="0"/>
        <w:autoSpaceDE w:val="0"/>
        <w:autoSpaceDN w:val="0"/>
        <w:adjustRightInd w:val="0"/>
        <w:snapToGrid w:val="0"/>
        <w:spacing w:after="120" w:line="240" w:lineRule="auto"/>
        <w:ind w:left="851" w:hanging="425"/>
        <w:jc w:val="both"/>
        <w:rPr>
          <w:rFonts w:ascii="Times New Roman" w:hAnsi="Times New Roman" w:cs="Times New Roman"/>
          <w:sz w:val="24"/>
          <w:szCs w:val="24"/>
        </w:rPr>
      </w:pPr>
      <w:r w:rsidRPr="00BA6190">
        <w:rPr>
          <w:rFonts w:ascii="Times New Roman" w:hAnsi="Times New Roman" w:cs="Times New Roman"/>
          <w:sz w:val="24"/>
          <w:szCs w:val="24"/>
        </w:rPr>
        <w:t xml:space="preserve">в) </w:t>
      </w:r>
      <w:r w:rsidRPr="00BA6190">
        <w:rPr>
          <w:rFonts w:ascii="Times New Roman" w:hAnsi="Times New Roman" w:cs="Times New Roman"/>
          <w:sz w:val="24"/>
          <w:szCs w:val="24"/>
        </w:rPr>
        <w:tab/>
        <w:t xml:space="preserve">помощите, предоставяни на предприятия, които извършват дейности в сектора на преработката и търговията със селскостопански продукти: </w:t>
      </w:r>
    </w:p>
    <w:p w:rsidR="00BA6190" w:rsidRPr="00BA6190" w:rsidRDefault="00BA6190" w:rsidP="00BA6190">
      <w:pPr>
        <w:widowControl w:val="0"/>
        <w:overflowPunct w:val="0"/>
        <w:autoSpaceDE w:val="0"/>
        <w:autoSpaceDN w:val="0"/>
        <w:adjustRightInd w:val="0"/>
        <w:snapToGrid w:val="0"/>
        <w:spacing w:after="120" w:line="240" w:lineRule="auto"/>
        <w:ind w:left="851" w:hanging="425"/>
        <w:jc w:val="both"/>
        <w:rPr>
          <w:rFonts w:ascii="Times New Roman" w:hAnsi="Times New Roman" w:cs="Times New Roman"/>
          <w:sz w:val="24"/>
          <w:szCs w:val="24"/>
        </w:rPr>
      </w:pPr>
      <w:r w:rsidRPr="00BA6190">
        <w:rPr>
          <w:rFonts w:ascii="Times New Roman" w:hAnsi="Times New Roman" w:cs="Times New Roman"/>
          <w:sz w:val="24"/>
          <w:szCs w:val="24"/>
        </w:rPr>
        <w:t xml:space="preserve">г) </w:t>
      </w:r>
      <w:r w:rsidRPr="00BA6190">
        <w:rPr>
          <w:rFonts w:ascii="Times New Roman" w:hAnsi="Times New Roman" w:cs="Times New Roman"/>
          <w:sz w:val="24"/>
          <w:szCs w:val="24"/>
        </w:rPr>
        <w:tab/>
        <w:t>помощи за дейности, свързани с износ за трети държави или държави членки, по-конкретно пряко свързани с изнасяните количества, със създаването и функционирането на дистрибуторска мрежа или с други текущи разходи, свързани с износа;</w:t>
      </w:r>
    </w:p>
    <w:p w:rsidR="00BA6190" w:rsidRPr="00BA6190" w:rsidRDefault="00BA6190" w:rsidP="00BA6190">
      <w:pPr>
        <w:widowControl w:val="0"/>
        <w:overflowPunct w:val="0"/>
        <w:autoSpaceDE w:val="0"/>
        <w:autoSpaceDN w:val="0"/>
        <w:adjustRightInd w:val="0"/>
        <w:snapToGrid w:val="0"/>
        <w:spacing w:after="120" w:line="240" w:lineRule="auto"/>
        <w:ind w:left="851" w:hanging="425"/>
        <w:jc w:val="both"/>
        <w:rPr>
          <w:rFonts w:ascii="Times New Roman" w:hAnsi="Times New Roman" w:cs="Times New Roman"/>
          <w:sz w:val="24"/>
          <w:szCs w:val="24"/>
        </w:rPr>
      </w:pPr>
      <w:r w:rsidRPr="00BA6190">
        <w:rPr>
          <w:rFonts w:ascii="Times New Roman" w:hAnsi="Times New Roman" w:cs="Times New Roman"/>
          <w:sz w:val="24"/>
          <w:szCs w:val="24"/>
        </w:rPr>
        <w:t xml:space="preserve">д) </w:t>
      </w:r>
      <w:r w:rsidRPr="00BA6190">
        <w:rPr>
          <w:rFonts w:ascii="Times New Roman" w:hAnsi="Times New Roman" w:cs="Times New Roman"/>
          <w:sz w:val="24"/>
          <w:szCs w:val="24"/>
        </w:rPr>
        <w:tab/>
        <w:t>помощи, подчинени на преференциалното използване на национални продукти спрямо вносни такива.</w:t>
      </w:r>
    </w:p>
    <w:p w:rsidR="00BA6190" w:rsidRPr="00BA6190" w:rsidRDefault="00BA6190" w:rsidP="00BA6190">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r w:rsidRPr="00BA6190">
        <w:rPr>
          <w:rFonts w:ascii="Times New Roman" w:hAnsi="Times New Roman" w:cs="Times New Roman"/>
          <w:sz w:val="24"/>
          <w:szCs w:val="24"/>
        </w:rPr>
        <w:t xml:space="preserve">Когато даден ССО упражнява дейност в секторите, описани по-горе в букви а), б) или в), както и в един или повече от секторите или дейностите, обхванати от </w:t>
      </w:r>
      <w:r w:rsidRPr="00BA6190">
        <w:rPr>
          <w:rFonts w:ascii="Times New Roman" w:hAnsi="Times New Roman" w:cs="Times New Roman"/>
          <w:color w:val="000000" w:themeColor="text1"/>
          <w:sz w:val="24"/>
          <w:szCs w:val="24"/>
        </w:rPr>
        <w:t>Регламент (ЕС) № 1407/2013</w:t>
      </w:r>
      <w:r w:rsidRPr="00BA6190">
        <w:rPr>
          <w:rFonts w:ascii="Times New Roman" w:hAnsi="Times New Roman" w:cs="Times New Roman"/>
          <w:sz w:val="24"/>
          <w:szCs w:val="24"/>
        </w:rPr>
        <w:t xml:space="preserve">, Регламентът се прилага спрямо помощта, предоставяна за </w:t>
      </w:r>
      <w:r w:rsidRPr="00BA6190">
        <w:rPr>
          <w:rFonts w:ascii="Times New Roman" w:hAnsi="Times New Roman" w:cs="Times New Roman"/>
          <w:sz w:val="24"/>
          <w:szCs w:val="24"/>
        </w:rPr>
        <w:lastRenderedPageBreak/>
        <w:t xml:space="preserve">съответните един или повече сектори или дейности, при условие че бъде гарантирано по подходящ начин и посредством подходящи средства, като например: разделение на дейностите или разграничаване на разходите, че дейностите в изключените сектори не се ползват от помощ de minimis, предоставена съгласно Регламента. </w:t>
      </w:r>
    </w:p>
    <w:p w:rsidR="00BA6190" w:rsidRPr="00BA6190" w:rsidRDefault="00BA6190" w:rsidP="00BA6190">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r w:rsidRPr="00BA6190">
        <w:rPr>
          <w:rFonts w:ascii="Times New Roman" w:hAnsi="Times New Roman" w:cs="Times New Roman"/>
          <w:sz w:val="24"/>
          <w:szCs w:val="24"/>
        </w:rPr>
        <w:t xml:space="preserve">В случаите, когато за ССО това не може да бъде гарантирано и общината не може по подходящ начин да бъде уверена, че ССО попада извън обхвата на </w:t>
      </w:r>
      <w:r w:rsidRPr="00BA6190">
        <w:rPr>
          <w:rFonts w:ascii="Times New Roman" w:hAnsi="Times New Roman" w:cs="Times New Roman"/>
          <w:color w:val="000000" w:themeColor="text1"/>
          <w:sz w:val="24"/>
          <w:szCs w:val="24"/>
        </w:rPr>
        <w:t>Регламент (ЕС) № 1407/2013,</w:t>
      </w:r>
      <w:r w:rsidRPr="00BA6190">
        <w:rPr>
          <w:rFonts w:ascii="Times New Roman" w:hAnsi="Times New Roman" w:cs="Times New Roman"/>
          <w:sz w:val="24"/>
          <w:szCs w:val="24"/>
        </w:rPr>
        <w:t xml:space="preserve"> то към съответния ССО са приложими правилата на Компонент II, описани в т. 5 от настоящите условия.</w:t>
      </w:r>
    </w:p>
    <w:p w:rsidR="00BA6190" w:rsidRPr="00BA6190" w:rsidRDefault="00BA6190" w:rsidP="00BA6190">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r w:rsidRPr="00BA6190">
        <w:rPr>
          <w:rFonts w:ascii="Times New Roman" w:hAnsi="Times New Roman" w:cs="Times New Roman"/>
          <w:sz w:val="24"/>
          <w:szCs w:val="24"/>
        </w:rPr>
        <w:t>На етап кандидатстване от даден ССО, съответната община, в качеството си на администратор на минималната помощ, следва да извършва проверка на описаните в т. 4.1. обстоятелства. Същите се декларират от всеки ССО в Декларацията за минимални и държавни помощи, попълнена по образец (</w:t>
      </w:r>
      <w:r w:rsidRPr="00BA6190">
        <w:rPr>
          <w:rFonts w:ascii="Times New Roman" w:hAnsi="Times New Roman" w:cs="Times New Roman"/>
          <w:bCs/>
          <w:sz w:val="24"/>
          <w:szCs w:val="24"/>
        </w:rPr>
        <w:t xml:space="preserve">Приложение № 1 към </w:t>
      </w:r>
      <w:r w:rsidRPr="00BA6190">
        <w:rPr>
          <w:rFonts w:ascii="Times New Roman" w:hAnsi="Times New Roman" w:cs="Times New Roman"/>
          <w:sz w:val="24"/>
          <w:szCs w:val="24"/>
        </w:rPr>
        <w:t>договора между общината и сдружението на собствениците (СС) /приложение № 11/, включващо и указания за попълване на декларацията).</w:t>
      </w:r>
    </w:p>
    <w:p w:rsidR="00BA6190" w:rsidRPr="00BA6190" w:rsidRDefault="00BA6190" w:rsidP="00BA6190">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r w:rsidRPr="00BA6190">
        <w:rPr>
          <w:rFonts w:ascii="Times New Roman" w:hAnsi="Times New Roman" w:cs="Times New Roman"/>
          <w:sz w:val="24"/>
          <w:szCs w:val="24"/>
        </w:rPr>
        <w:t xml:space="preserve">Общината може да изисква допълнителни документи по нейна преценка (например: извадка от счетоводната система, използван метод за счетоводната отчетност и т.н.), които биха й послужили да прецени допустимостта на кандидата, в случаите когато ССО попада в обхвата на понятието „предприятие“ по смисъла на Закона за счетоводството, респ. има задължение да съставя годишен финансов отчет. </w:t>
      </w:r>
    </w:p>
    <w:p w:rsidR="00BA6190" w:rsidRPr="00BA6190" w:rsidRDefault="00BA6190" w:rsidP="00BA6190">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p>
    <w:p w:rsidR="00BA6190" w:rsidRPr="00BA6190" w:rsidRDefault="00BA6190" w:rsidP="00BA6190">
      <w:pPr>
        <w:widowControl w:val="0"/>
        <w:numPr>
          <w:ilvl w:val="1"/>
          <w:numId w:val="24"/>
        </w:numPr>
        <w:overflowPunct w:val="0"/>
        <w:autoSpaceDE w:val="0"/>
        <w:autoSpaceDN w:val="0"/>
        <w:adjustRightInd w:val="0"/>
        <w:snapToGrid w:val="0"/>
        <w:spacing w:after="120" w:line="240" w:lineRule="auto"/>
        <w:jc w:val="both"/>
        <w:rPr>
          <w:rFonts w:ascii="Times New Roman" w:hAnsi="Times New Roman" w:cs="Times New Roman"/>
          <w:b/>
          <w:sz w:val="24"/>
          <w:szCs w:val="24"/>
        </w:rPr>
      </w:pPr>
      <w:r w:rsidRPr="00BA6190">
        <w:rPr>
          <w:rFonts w:ascii="Times New Roman" w:hAnsi="Times New Roman" w:cs="Times New Roman"/>
          <w:b/>
          <w:sz w:val="24"/>
          <w:szCs w:val="24"/>
        </w:rPr>
        <w:t>Специфични изисквания</w:t>
      </w:r>
    </w:p>
    <w:p w:rsidR="00BA6190" w:rsidRPr="00BA6190" w:rsidRDefault="00BA6190" w:rsidP="00BA6190">
      <w:pPr>
        <w:widowControl w:val="0"/>
        <w:overflowPunct w:val="0"/>
        <w:autoSpaceDE w:val="0"/>
        <w:autoSpaceDN w:val="0"/>
        <w:adjustRightInd w:val="0"/>
        <w:snapToGrid w:val="0"/>
        <w:spacing w:after="120" w:line="240" w:lineRule="auto"/>
        <w:ind w:left="4"/>
        <w:jc w:val="both"/>
        <w:rPr>
          <w:rFonts w:ascii="Times New Roman" w:hAnsi="Times New Roman" w:cs="Times New Roman"/>
          <w:sz w:val="24"/>
          <w:szCs w:val="24"/>
        </w:rPr>
      </w:pPr>
      <w:r w:rsidRPr="00BA6190">
        <w:rPr>
          <w:rFonts w:ascii="Times New Roman" w:hAnsi="Times New Roman" w:cs="Times New Roman"/>
          <w:sz w:val="24"/>
          <w:szCs w:val="24"/>
        </w:rPr>
        <w:t xml:space="preserve">За ССО, които са предприятия за целите на Регламент </w:t>
      </w:r>
      <w:r w:rsidRPr="00BA6190">
        <w:rPr>
          <w:rFonts w:ascii="Times New Roman" w:hAnsi="Times New Roman" w:cs="Times New Roman"/>
          <w:color w:val="000000" w:themeColor="text1"/>
          <w:sz w:val="24"/>
          <w:szCs w:val="24"/>
        </w:rPr>
        <w:t>(ЕС) № 1407/2013 се прилагат изискванията на „едно и също предприятие“.</w:t>
      </w:r>
    </w:p>
    <w:p w:rsidR="00BA6190" w:rsidRPr="00BA6190" w:rsidRDefault="00BA6190" w:rsidP="00BA6190">
      <w:pPr>
        <w:widowControl w:val="0"/>
        <w:overflowPunct w:val="0"/>
        <w:autoSpaceDE w:val="0"/>
        <w:autoSpaceDN w:val="0"/>
        <w:adjustRightInd w:val="0"/>
        <w:snapToGrid w:val="0"/>
        <w:spacing w:after="120" w:line="240" w:lineRule="auto"/>
        <w:ind w:left="4"/>
        <w:jc w:val="both"/>
        <w:rPr>
          <w:rFonts w:ascii="Times New Roman" w:hAnsi="Times New Roman" w:cs="Times New Roman"/>
          <w:sz w:val="24"/>
          <w:szCs w:val="24"/>
        </w:rPr>
      </w:pPr>
      <w:r w:rsidRPr="00BA6190">
        <w:rPr>
          <w:rFonts w:ascii="Times New Roman" w:hAnsi="Times New Roman" w:cs="Times New Roman"/>
          <w:sz w:val="24"/>
          <w:szCs w:val="24"/>
        </w:rPr>
        <w:t xml:space="preserve">Съгласно чл. 2 от Регламент </w:t>
      </w:r>
      <w:r w:rsidRPr="00BA6190">
        <w:rPr>
          <w:rFonts w:ascii="Times New Roman" w:hAnsi="Times New Roman" w:cs="Times New Roman"/>
          <w:color w:val="000000" w:themeColor="text1"/>
          <w:sz w:val="24"/>
          <w:szCs w:val="24"/>
        </w:rPr>
        <w:t xml:space="preserve">(ЕС) № 1407/2013, </w:t>
      </w:r>
      <w:r w:rsidRPr="00BA6190">
        <w:rPr>
          <w:rFonts w:ascii="Times New Roman" w:hAnsi="Times New Roman" w:cs="Times New Roman"/>
          <w:sz w:val="24"/>
          <w:szCs w:val="24"/>
        </w:rPr>
        <w:t>„едно и също предприятие“ означава всички предприятия, които поддържат помежду си поне един вид от следните взаимоотношения:</w:t>
      </w:r>
    </w:p>
    <w:p w:rsidR="00BA6190" w:rsidRPr="00BA6190" w:rsidRDefault="00BA6190" w:rsidP="00BA6190">
      <w:pPr>
        <w:widowControl w:val="0"/>
        <w:overflowPunct w:val="0"/>
        <w:autoSpaceDE w:val="0"/>
        <w:autoSpaceDN w:val="0"/>
        <w:adjustRightInd w:val="0"/>
        <w:snapToGrid w:val="0"/>
        <w:spacing w:after="120" w:line="240" w:lineRule="auto"/>
        <w:ind w:left="851" w:hanging="284"/>
        <w:jc w:val="both"/>
        <w:rPr>
          <w:rFonts w:ascii="Times New Roman" w:hAnsi="Times New Roman" w:cs="Times New Roman"/>
          <w:sz w:val="24"/>
          <w:szCs w:val="24"/>
        </w:rPr>
      </w:pPr>
      <w:r w:rsidRPr="00BA6190">
        <w:rPr>
          <w:rFonts w:ascii="Times New Roman" w:hAnsi="Times New Roman" w:cs="Times New Roman"/>
          <w:sz w:val="24"/>
          <w:szCs w:val="24"/>
        </w:rPr>
        <w:t xml:space="preserve">а) </w:t>
      </w:r>
      <w:r w:rsidRPr="00BA6190">
        <w:rPr>
          <w:rFonts w:ascii="Times New Roman" w:hAnsi="Times New Roman" w:cs="Times New Roman"/>
          <w:sz w:val="24"/>
          <w:szCs w:val="24"/>
        </w:rPr>
        <w:tab/>
        <w:t>дадено предприятие притежава мнозинството от гласовете на акционерите или съдружниците в друго предприятие;</w:t>
      </w:r>
    </w:p>
    <w:p w:rsidR="00BA6190" w:rsidRPr="00BA6190" w:rsidRDefault="00BA6190" w:rsidP="00BA6190">
      <w:pPr>
        <w:widowControl w:val="0"/>
        <w:overflowPunct w:val="0"/>
        <w:autoSpaceDE w:val="0"/>
        <w:autoSpaceDN w:val="0"/>
        <w:adjustRightInd w:val="0"/>
        <w:snapToGrid w:val="0"/>
        <w:spacing w:after="120" w:line="240" w:lineRule="auto"/>
        <w:ind w:left="851" w:hanging="284"/>
        <w:jc w:val="both"/>
        <w:rPr>
          <w:rFonts w:ascii="Times New Roman" w:hAnsi="Times New Roman" w:cs="Times New Roman"/>
          <w:sz w:val="24"/>
          <w:szCs w:val="24"/>
        </w:rPr>
      </w:pPr>
      <w:r w:rsidRPr="00BA6190">
        <w:rPr>
          <w:rFonts w:ascii="Times New Roman" w:hAnsi="Times New Roman" w:cs="Times New Roman"/>
          <w:sz w:val="24"/>
          <w:szCs w:val="24"/>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BA6190" w:rsidRPr="00BA6190" w:rsidRDefault="00BA6190" w:rsidP="00BA6190">
      <w:pPr>
        <w:widowControl w:val="0"/>
        <w:overflowPunct w:val="0"/>
        <w:autoSpaceDE w:val="0"/>
        <w:autoSpaceDN w:val="0"/>
        <w:adjustRightInd w:val="0"/>
        <w:snapToGrid w:val="0"/>
        <w:spacing w:after="120" w:line="240" w:lineRule="auto"/>
        <w:ind w:left="851" w:hanging="284"/>
        <w:jc w:val="both"/>
        <w:rPr>
          <w:rFonts w:ascii="Times New Roman" w:hAnsi="Times New Roman" w:cs="Times New Roman"/>
          <w:sz w:val="24"/>
          <w:szCs w:val="24"/>
        </w:rPr>
      </w:pPr>
      <w:r w:rsidRPr="00BA6190">
        <w:rPr>
          <w:rFonts w:ascii="Times New Roman" w:hAnsi="Times New Roman" w:cs="Times New Roman"/>
          <w:sz w:val="24"/>
          <w:szCs w:val="24"/>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BA6190" w:rsidRPr="00BA6190" w:rsidRDefault="00BA6190" w:rsidP="00BA6190">
      <w:pPr>
        <w:widowControl w:val="0"/>
        <w:overflowPunct w:val="0"/>
        <w:autoSpaceDE w:val="0"/>
        <w:autoSpaceDN w:val="0"/>
        <w:adjustRightInd w:val="0"/>
        <w:snapToGrid w:val="0"/>
        <w:spacing w:after="120" w:line="240" w:lineRule="auto"/>
        <w:ind w:left="851" w:hanging="284"/>
        <w:jc w:val="both"/>
        <w:rPr>
          <w:rFonts w:ascii="Times New Roman" w:hAnsi="Times New Roman" w:cs="Times New Roman"/>
          <w:sz w:val="24"/>
          <w:szCs w:val="24"/>
        </w:rPr>
      </w:pPr>
      <w:r w:rsidRPr="00BA6190">
        <w:rPr>
          <w:rFonts w:ascii="Times New Roman" w:hAnsi="Times New Roman" w:cs="Times New Roman"/>
          <w:sz w:val="24"/>
          <w:szCs w:val="24"/>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BA6190" w:rsidRPr="00BA6190" w:rsidRDefault="00BA6190" w:rsidP="00BA6190">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r w:rsidRPr="00BA6190">
        <w:rPr>
          <w:rFonts w:ascii="Times New Roman" w:hAnsi="Times New Roman" w:cs="Times New Roman"/>
          <w:sz w:val="24"/>
          <w:szCs w:val="24"/>
        </w:rPr>
        <w:t xml:space="preserve">Предприятия, поддържащи едно от взаимоотношенията, посочени по-горе в букви а) — </w:t>
      </w:r>
      <w:r w:rsidRPr="00BA6190">
        <w:rPr>
          <w:rFonts w:ascii="Times New Roman" w:hAnsi="Times New Roman" w:cs="Times New Roman"/>
          <w:sz w:val="24"/>
          <w:szCs w:val="24"/>
        </w:rPr>
        <w:lastRenderedPageBreak/>
        <w:t>г), посредством едно или няколко други предприятия, също се разглеждат като едно и също предприятие.</w:t>
      </w:r>
    </w:p>
    <w:p w:rsidR="00BA6190" w:rsidRPr="00BA6190" w:rsidRDefault="00BA6190" w:rsidP="00BA6190">
      <w:pPr>
        <w:widowControl w:val="0"/>
        <w:overflowPunct w:val="0"/>
        <w:autoSpaceDE w:val="0"/>
        <w:autoSpaceDN w:val="0"/>
        <w:adjustRightInd w:val="0"/>
        <w:snapToGrid w:val="0"/>
        <w:spacing w:after="120" w:line="240" w:lineRule="auto"/>
        <w:ind w:left="6"/>
        <w:jc w:val="both"/>
        <w:rPr>
          <w:rFonts w:ascii="Times New Roman" w:hAnsi="Times New Roman" w:cs="Times New Roman"/>
          <w:bCs/>
          <w:sz w:val="24"/>
          <w:szCs w:val="24"/>
        </w:rPr>
      </w:pPr>
      <w:r w:rsidRPr="00BA6190">
        <w:rPr>
          <w:rFonts w:ascii="Times New Roman" w:hAnsi="Times New Roman" w:cs="Times New Roman"/>
          <w:sz w:val="24"/>
          <w:szCs w:val="24"/>
        </w:rPr>
        <w:t xml:space="preserve">С оглед установяване на наличието на тези обстоятелства, общината следва да провери дали същите са декларирани от съответния ССО в декларацията по </w:t>
      </w:r>
      <w:r w:rsidRPr="00BA6190">
        <w:rPr>
          <w:rFonts w:ascii="Times New Roman" w:hAnsi="Times New Roman" w:cs="Times New Roman"/>
          <w:bCs/>
          <w:sz w:val="24"/>
          <w:szCs w:val="24"/>
        </w:rPr>
        <w:t xml:space="preserve">Приложение № 1 към договора между общината и СС /Приложение 11/. В случай, че даден ССО се явява „едно и също предприятие“ по отношение на други предприятия и същите покриват някое от условията, описани в т. 4.2, то следва да се има предвид, че всички предприятия, образуващи „едно и също предприятие“, се считат за един получател на минималната помощ. В този случай, следва да се има предвид, че описаните в т. 4.4. допустими максимални размери на БФП и установените прагове в </w:t>
      </w:r>
      <w:r w:rsidRPr="00BA6190">
        <w:rPr>
          <w:rFonts w:ascii="Times New Roman" w:hAnsi="Times New Roman" w:cs="Times New Roman"/>
          <w:color w:val="000000" w:themeColor="text1"/>
          <w:sz w:val="24"/>
          <w:szCs w:val="24"/>
        </w:rPr>
        <w:t xml:space="preserve">Регламент (ЕС) № 1407/2013 </w:t>
      </w:r>
      <w:r w:rsidRPr="00BA6190">
        <w:rPr>
          <w:rFonts w:ascii="Times New Roman" w:hAnsi="Times New Roman" w:cs="Times New Roman"/>
          <w:bCs/>
          <w:sz w:val="24"/>
          <w:szCs w:val="24"/>
        </w:rPr>
        <w:t>се прилагат към този един  получател, в който се включват всички, образуващи „едно и също предприятие“.</w:t>
      </w:r>
    </w:p>
    <w:p w:rsidR="00BA6190" w:rsidRPr="00BA6190" w:rsidRDefault="00BA6190" w:rsidP="00BA6190">
      <w:pPr>
        <w:widowControl w:val="0"/>
        <w:numPr>
          <w:ilvl w:val="1"/>
          <w:numId w:val="24"/>
        </w:numPr>
        <w:overflowPunct w:val="0"/>
        <w:autoSpaceDE w:val="0"/>
        <w:autoSpaceDN w:val="0"/>
        <w:adjustRightInd w:val="0"/>
        <w:snapToGrid w:val="0"/>
        <w:spacing w:after="120" w:line="240" w:lineRule="auto"/>
        <w:jc w:val="both"/>
        <w:rPr>
          <w:rFonts w:ascii="Times New Roman" w:hAnsi="Times New Roman" w:cs="Times New Roman"/>
          <w:b/>
          <w:sz w:val="24"/>
          <w:szCs w:val="24"/>
        </w:rPr>
      </w:pPr>
      <w:r w:rsidRPr="00BA6190">
        <w:rPr>
          <w:rFonts w:ascii="Times New Roman" w:hAnsi="Times New Roman" w:cs="Times New Roman"/>
          <w:b/>
          <w:sz w:val="24"/>
          <w:szCs w:val="24"/>
        </w:rPr>
        <w:t xml:space="preserve"> Допълнителни условия към собствениците на самостоятелните обекти в сградата</w:t>
      </w:r>
    </w:p>
    <w:p w:rsidR="00BA6190" w:rsidRPr="00BA6190" w:rsidRDefault="00BA6190" w:rsidP="00BA6190">
      <w:pPr>
        <w:widowControl w:val="0"/>
        <w:overflowPunct w:val="0"/>
        <w:autoSpaceDE w:val="0"/>
        <w:autoSpaceDN w:val="0"/>
        <w:adjustRightInd w:val="0"/>
        <w:snapToGrid w:val="0"/>
        <w:spacing w:after="120" w:line="240" w:lineRule="auto"/>
        <w:ind w:left="4"/>
        <w:jc w:val="both"/>
        <w:rPr>
          <w:rFonts w:ascii="Times New Roman" w:hAnsi="Times New Roman" w:cs="Times New Roman"/>
          <w:sz w:val="24"/>
          <w:szCs w:val="24"/>
        </w:rPr>
      </w:pPr>
      <w:r w:rsidRPr="00BA6190">
        <w:rPr>
          <w:rFonts w:ascii="Times New Roman" w:hAnsi="Times New Roman" w:cs="Times New Roman"/>
          <w:color w:val="000000" w:themeColor="text1"/>
          <w:sz w:val="24"/>
          <w:szCs w:val="24"/>
        </w:rPr>
        <w:t xml:space="preserve">Регламент (ЕС) № 1407/2013 </w:t>
      </w:r>
      <w:r w:rsidRPr="00BA6190">
        <w:rPr>
          <w:rFonts w:ascii="Times New Roman" w:hAnsi="Times New Roman" w:cs="Times New Roman"/>
          <w:sz w:val="24"/>
          <w:szCs w:val="24"/>
        </w:rPr>
        <w:t xml:space="preserve">се прилага само за помощите, при които брутният еквивалент на безвъзмездна помощ може да бъде изчислен точно и предварително, без да е необходима каквато и да било оценка на риска („прозрачна помощ“). </w:t>
      </w:r>
    </w:p>
    <w:p w:rsidR="00BA6190" w:rsidRPr="00BA6190" w:rsidRDefault="00BA6190" w:rsidP="00BA6190">
      <w:pPr>
        <w:widowControl w:val="0"/>
        <w:overflowPunct w:val="0"/>
        <w:autoSpaceDE w:val="0"/>
        <w:autoSpaceDN w:val="0"/>
        <w:adjustRightInd w:val="0"/>
        <w:snapToGrid w:val="0"/>
        <w:spacing w:after="120" w:line="240" w:lineRule="auto"/>
        <w:jc w:val="both"/>
        <w:rPr>
          <w:rFonts w:ascii="Times New Roman" w:hAnsi="Times New Roman" w:cs="Times New Roman"/>
          <w:sz w:val="24"/>
          <w:szCs w:val="24"/>
        </w:rPr>
      </w:pPr>
      <w:r w:rsidRPr="00BA6190">
        <w:rPr>
          <w:rFonts w:ascii="Times New Roman" w:hAnsi="Times New Roman" w:cs="Times New Roman"/>
          <w:sz w:val="24"/>
          <w:szCs w:val="24"/>
        </w:rPr>
        <w:t>Помощта по схемата се изразява като парични безвъзмездни средства (БФП), поради което се счита за прозрачна помощ. Размерът на помощта се изразява в брутно изражение, преди облагане с данъци или други такси. Предвид факта, че по схемата е въведена точна дата за получаване на помощта не се извършва сконтиране, тъй като не е налице изплащане на траншове.</w:t>
      </w:r>
    </w:p>
    <w:p w:rsidR="00BA6190" w:rsidRPr="00BA6190" w:rsidRDefault="00BA6190" w:rsidP="00BA6190">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r w:rsidRPr="00BA6190">
        <w:rPr>
          <w:rFonts w:ascii="Times New Roman" w:hAnsi="Times New Roman" w:cs="Times New Roman"/>
          <w:sz w:val="24"/>
          <w:szCs w:val="24"/>
        </w:rPr>
        <w:t>В случай на сливания или придобивания на ССО,</w:t>
      </w:r>
      <w:r w:rsidRPr="00BA6190">
        <w:rPr>
          <w:rFonts w:ascii="Times New Roman" w:hAnsi="Times New Roman" w:cs="Times New Roman"/>
          <w:sz w:val="24"/>
          <w:szCs w:val="24"/>
          <w:lang w:val="en-US"/>
        </w:rPr>
        <w:t xml:space="preserve"> </w:t>
      </w:r>
      <w:r w:rsidRPr="00BA6190">
        <w:rPr>
          <w:rFonts w:ascii="Times New Roman" w:hAnsi="Times New Roman" w:cs="Times New Roman"/>
          <w:sz w:val="24"/>
          <w:szCs w:val="24"/>
        </w:rPr>
        <w:t>представляващи търговски дружества, извършени през периода на обновяването, към датата на предоставянето на помощта, всички помощи de minimis, предоставяни на някое от сливащите се предприятия по схемата, се вземат под внимание, за да се определи дали помощта, отпусната по схемата на новото предприятие или на придобиващото предприятие, няма да доведе до превишаване на съответния таван.</w:t>
      </w:r>
    </w:p>
    <w:p w:rsidR="00BA6190" w:rsidRPr="00BA6190" w:rsidRDefault="00BA6190" w:rsidP="00BA6190">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r w:rsidRPr="00BA6190">
        <w:rPr>
          <w:rFonts w:ascii="Times New Roman" w:hAnsi="Times New Roman" w:cs="Times New Roman"/>
          <w:sz w:val="24"/>
          <w:szCs w:val="24"/>
        </w:rPr>
        <w:t>Ако в периода на обновяване, към датата на предоставянето на помощта, дадено предприятие се разделя на две или повече отделни предприятия, помощта de minimis по схемата се начислява на това предприятие, което поема дейността. В случай, че последното не е възможно се извършва пропорционално разделяне на помощта на база на счетоводната стойност на собствения капитал на новите предприятия.</w:t>
      </w:r>
    </w:p>
    <w:p w:rsidR="00BA6190" w:rsidRPr="00BA6190" w:rsidRDefault="00BA6190" w:rsidP="00BA6190">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r w:rsidRPr="00BA6190">
        <w:rPr>
          <w:rFonts w:ascii="Times New Roman" w:hAnsi="Times New Roman" w:cs="Times New Roman"/>
          <w:sz w:val="24"/>
          <w:szCs w:val="24"/>
        </w:rPr>
        <w:t xml:space="preserve">Сливанията, придобиванията и разделянията също са предмет на деклариране от ССО в декларацията по </w:t>
      </w:r>
      <w:r w:rsidRPr="00BA6190">
        <w:rPr>
          <w:rFonts w:ascii="Times New Roman" w:hAnsi="Times New Roman" w:cs="Times New Roman"/>
          <w:bCs/>
          <w:sz w:val="24"/>
          <w:szCs w:val="24"/>
        </w:rPr>
        <w:t>Приложение № 1 към Приложение № 11. Същите са необходими с оглед правилното установяване на размера на получените минимални помощи от даден ССО.</w:t>
      </w:r>
      <w:r w:rsidRPr="00BA6190">
        <w:rPr>
          <w:rFonts w:ascii="Times New Roman" w:hAnsi="Times New Roman" w:cs="Times New Roman"/>
          <w:sz w:val="24"/>
          <w:szCs w:val="24"/>
        </w:rPr>
        <w:t xml:space="preserve"> </w:t>
      </w:r>
    </w:p>
    <w:p w:rsidR="00BA6190" w:rsidRPr="00BA6190" w:rsidRDefault="00BA6190" w:rsidP="00BA6190">
      <w:pPr>
        <w:widowControl w:val="0"/>
        <w:numPr>
          <w:ilvl w:val="1"/>
          <w:numId w:val="24"/>
        </w:numPr>
        <w:overflowPunct w:val="0"/>
        <w:autoSpaceDE w:val="0"/>
        <w:autoSpaceDN w:val="0"/>
        <w:adjustRightInd w:val="0"/>
        <w:snapToGrid w:val="0"/>
        <w:spacing w:after="120" w:line="240" w:lineRule="auto"/>
        <w:jc w:val="both"/>
        <w:rPr>
          <w:rFonts w:ascii="Times New Roman" w:hAnsi="Times New Roman" w:cs="Times New Roman"/>
          <w:b/>
          <w:sz w:val="24"/>
          <w:szCs w:val="24"/>
        </w:rPr>
      </w:pPr>
      <w:r w:rsidRPr="00BA6190">
        <w:rPr>
          <w:rFonts w:ascii="Times New Roman" w:hAnsi="Times New Roman" w:cs="Times New Roman"/>
          <w:b/>
          <w:sz w:val="24"/>
          <w:szCs w:val="24"/>
        </w:rPr>
        <w:t xml:space="preserve"> Допустим максимален размер на БФП</w:t>
      </w:r>
    </w:p>
    <w:p w:rsidR="00BA6190" w:rsidRPr="00BA6190" w:rsidRDefault="00BA6190" w:rsidP="00BA6190">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r w:rsidRPr="00BA6190">
        <w:rPr>
          <w:rFonts w:ascii="Times New Roman" w:hAnsi="Times New Roman" w:cs="Times New Roman"/>
          <w:sz w:val="24"/>
          <w:szCs w:val="24"/>
        </w:rPr>
        <w:t xml:space="preserve">Допустимият максимален размер на БФП следва да е такъв, който не води до надвишаване на праговете, определени в </w:t>
      </w:r>
      <w:r w:rsidRPr="00BA6190">
        <w:rPr>
          <w:rFonts w:ascii="Times New Roman" w:hAnsi="Times New Roman" w:cs="Times New Roman"/>
          <w:color w:val="000000" w:themeColor="text1"/>
          <w:sz w:val="24"/>
          <w:szCs w:val="24"/>
        </w:rPr>
        <w:t xml:space="preserve">Регламент (ЕС) № 1407/2013, </w:t>
      </w:r>
      <w:r w:rsidRPr="00BA6190">
        <w:rPr>
          <w:rFonts w:ascii="Times New Roman" w:hAnsi="Times New Roman" w:cs="Times New Roman"/>
          <w:sz w:val="24"/>
          <w:szCs w:val="24"/>
        </w:rPr>
        <w:t xml:space="preserve">а именно: </w:t>
      </w:r>
      <w:r w:rsidRPr="00BA6190">
        <w:rPr>
          <w:rFonts w:ascii="Times New Roman" w:hAnsi="Times New Roman" w:cs="Times New Roman"/>
          <w:sz w:val="24"/>
          <w:szCs w:val="24"/>
        </w:rPr>
        <w:lastRenderedPageBreak/>
        <w:t xml:space="preserve">левовата равностойност на 200 000 евро (391 166 лева) </w:t>
      </w:r>
      <w:r w:rsidRPr="00BA6190">
        <w:rPr>
          <w:rFonts w:ascii="Times New Roman" w:hAnsi="Times New Roman" w:cs="Times New Roman"/>
          <w:color w:val="000000" w:themeColor="text1"/>
          <w:sz w:val="24"/>
          <w:szCs w:val="24"/>
        </w:rPr>
        <w:t xml:space="preserve">за период от 3 (три) последователни фискални години. </w:t>
      </w:r>
      <w:r w:rsidRPr="00BA6190">
        <w:rPr>
          <w:rFonts w:ascii="Times New Roman" w:hAnsi="Times New Roman" w:cs="Times New Roman"/>
          <w:sz w:val="24"/>
          <w:szCs w:val="24"/>
        </w:rPr>
        <w:t>Общият размер на минималната помощ, предоставена на едно и също предприятие, осъществяващо дейност в отрасъл „шосеен транспорт”, не може да надхвърля левовата равностойност на 100 000 евро (195 583 лева) за период от 3 (три) последователни фискални години.</w:t>
      </w:r>
    </w:p>
    <w:p w:rsidR="00BA6190" w:rsidRPr="00BA6190" w:rsidRDefault="00BA6190" w:rsidP="00BA6190">
      <w:pPr>
        <w:widowControl w:val="0"/>
        <w:autoSpaceDE w:val="0"/>
        <w:autoSpaceDN w:val="0"/>
        <w:adjustRightInd w:val="0"/>
        <w:snapToGrid w:val="0"/>
        <w:spacing w:after="120" w:line="240" w:lineRule="auto"/>
        <w:ind w:left="4"/>
        <w:jc w:val="both"/>
        <w:rPr>
          <w:rFonts w:ascii="Times New Roman" w:hAnsi="Times New Roman" w:cs="Times New Roman"/>
          <w:bCs/>
          <w:sz w:val="24"/>
          <w:szCs w:val="24"/>
        </w:rPr>
      </w:pPr>
      <w:r w:rsidRPr="00BA6190">
        <w:rPr>
          <w:rFonts w:ascii="Times New Roman" w:hAnsi="Times New Roman" w:cs="Times New Roman"/>
          <w:bCs/>
          <w:sz w:val="24"/>
          <w:szCs w:val="24"/>
        </w:rPr>
        <w:t>Само след като общината се е уверила, че с отпускането на съответната минимална помощ по настоящата схема няма да бъдат превишени праговете, установени по-горе, тогава общината може да я предостави на съответния ССО. За целта при изчисляване на праговете се отчита размерът на всички получени минимални помощи от ССО -„едно и също предприятие“, без значение на формата и източника въз основа на декларация по образец и проверка в Регистъра за държавна и минимална помощ.</w:t>
      </w:r>
    </w:p>
    <w:p w:rsidR="00BA6190" w:rsidRPr="00BA6190" w:rsidRDefault="00BA6190" w:rsidP="00BA6190">
      <w:pPr>
        <w:widowControl w:val="0"/>
        <w:overflowPunct w:val="0"/>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BA6190">
        <w:rPr>
          <w:rFonts w:ascii="Times New Roman" w:hAnsi="Times New Roman" w:cs="Times New Roman"/>
          <w:sz w:val="24"/>
          <w:szCs w:val="24"/>
        </w:rPr>
        <w:t>Данните за получени минимални и/или държавни помощи следва да бъдат надлежно посочени от собствениците в декларацията за минимални и държавни помощи, попълнена по образец (</w:t>
      </w:r>
      <w:r w:rsidRPr="00BA6190">
        <w:rPr>
          <w:rFonts w:ascii="Times New Roman" w:hAnsi="Times New Roman" w:cs="Times New Roman"/>
          <w:bCs/>
          <w:sz w:val="24"/>
          <w:szCs w:val="24"/>
        </w:rPr>
        <w:t>Приложение № 1 към Приложение № 11)</w:t>
      </w:r>
      <w:r w:rsidRPr="00BA6190">
        <w:rPr>
          <w:rFonts w:ascii="Times New Roman" w:hAnsi="Times New Roman" w:cs="Times New Roman"/>
          <w:sz w:val="24"/>
          <w:szCs w:val="24"/>
        </w:rPr>
        <w:t xml:space="preserve">. Общината </w:t>
      </w:r>
      <w:r w:rsidRPr="00BA6190">
        <w:rPr>
          <w:rFonts w:ascii="Times New Roman" w:hAnsi="Times New Roman" w:cs="Times New Roman"/>
          <w:color w:val="000000" w:themeColor="text1"/>
          <w:sz w:val="24"/>
          <w:szCs w:val="24"/>
        </w:rPr>
        <w:t xml:space="preserve">оказва методическа помощ при попълването на декларацията от страна на членовете на ССО. </w:t>
      </w:r>
    </w:p>
    <w:p w:rsidR="00BA6190" w:rsidRPr="00BA6190" w:rsidRDefault="00BA6190" w:rsidP="00BA6190">
      <w:pPr>
        <w:widowControl w:val="0"/>
        <w:overflowPunct w:val="0"/>
        <w:autoSpaceDE w:val="0"/>
        <w:autoSpaceDN w:val="0"/>
        <w:adjustRightInd w:val="0"/>
        <w:snapToGrid w:val="0"/>
        <w:spacing w:after="120" w:line="240" w:lineRule="auto"/>
        <w:jc w:val="both"/>
        <w:rPr>
          <w:rFonts w:ascii="Times New Roman" w:hAnsi="Times New Roman" w:cs="Times New Roman"/>
          <w:sz w:val="24"/>
          <w:szCs w:val="24"/>
        </w:rPr>
      </w:pPr>
      <w:r w:rsidRPr="00BA6190">
        <w:rPr>
          <w:rFonts w:ascii="Times New Roman" w:hAnsi="Times New Roman" w:cs="Times New Roman"/>
          <w:sz w:val="24"/>
          <w:szCs w:val="24"/>
        </w:rPr>
        <w:t>Декларацията се представя подписана от собствениците на самостоятелни обекти на представляващия СС и</w:t>
      </w:r>
      <w:r w:rsidRPr="00BA6190">
        <w:rPr>
          <w:rFonts w:ascii="Times New Roman" w:hAnsi="Times New Roman" w:cs="Times New Roman"/>
          <w:color w:val="000000" w:themeColor="text1"/>
          <w:sz w:val="24"/>
          <w:szCs w:val="24"/>
        </w:rPr>
        <w:t xml:space="preserve"> се прилага към заявлението за интерес и финансова помощ. Същата се прилага и към договора, който се сключва между общината и СС.</w:t>
      </w:r>
      <w:r w:rsidRPr="00BA6190">
        <w:rPr>
          <w:rFonts w:ascii="Times New Roman" w:hAnsi="Times New Roman" w:cs="Times New Roman"/>
          <w:sz w:val="24"/>
          <w:szCs w:val="24"/>
        </w:rPr>
        <w:t xml:space="preserve"> </w:t>
      </w:r>
    </w:p>
    <w:p w:rsidR="00BA6190" w:rsidRPr="00BA6190" w:rsidRDefault="00BA6190" w:rsidP="00BA6190">
      <w:pPr>
        <w:widowControl w:val="0"/>
        <w:overflowPunct w:val="0"/>
        <w:autoSpaceDE w:val="0"/>
        <w:autoSpaceDN w:val="0"/>
        <w:adjustRightInd w:val="0"/>
        <w:snapToGrid w:val="0"/>
        <w:spacing w:after="120" w:line="240" w:lineRule="auto"/>
        <w:jc w:val="both"/>
        <w:rPr>
          <w:rFonts w:ascii="Times New Roman" w:hAnsi="Times New Roman" w:cs="Times New Roman"/>
          <w:sz w:val="24"/>
          <w:szCs w:val="24"/>
        </w:rPr>
      </w:pPr>
      <w:r w:rsidRPr="00BA6190">
        <w:rPr>
          <w:rFonts w:ascii="Times New Roman" w:hAnsi="Times New Roman" w:cs="Times New Roman"/>
          <w:sz w:val="24"/>
          <w:szCs w:val="24"/>
        </w:rPr>
        <w:t>При попълването на декларацията следва да се имат предвид следните хипотези:</w:t>
      </w:r>
    </w:p>
    <w:p w:rsidR="00BA6190" w:rsidRPr="00BA6190" w:rsidRDefault="00BA6190" w:rsidP="00BA6190">
      <w:pPr>
        <w:widowControl w:val="0"/>
        <w:numPr>
          <w:ilvl w:val="0"/>
          <w:numId w:val="29"/>
        </w:numPr>
        <w:overflowPunct w:val="0"/>
        <w:autoSpaceDE w:val="0"/>
        <w:autoSpaceDN w:val="0"/>
        <w:adjustRightInd w:val="0"/>
        <w:snapToGrid w:val="0"/>
        <w:spacing w:after="120" w:line="240" w:lineRule="auto"/>
        <w:jc w:val="both"/>
        <w:rPr>
          <w:rFonts w:ascii="Times New Roman" w:eastAsia="Times New Roman" w:hAnsi="Times New Roman" w:cs="Times New Roman"/>
          <w:sz w:val="24"/>
          <w:szCs w:val="24"/>
          <w:lang w:eastAsia="bg-BG"/>
        </w:rPr>
      </w:pPr>
      <w:r w:rsidRPr="00BA6190">
        <w:rPr>
          <w:rFonts w:ascii="Times New Roman" w:eastAsia="Times New Roman" w:hAnsi="Times New Roman" w:cs="Times New Roman"/>
          <w:sz w:val="24"/>
          <w:szCs w:val="24"/>
          <w:lang w:eastAsia="bg-BG"/>
        </w:rPr>
        <w:t>В случаите, когато Декларацията за минимални и държавни помощи се попълва от собственици на СО, които не неизвършват икономическа дейност</w:t>
      </w:r>
      <w:r w:rsidRPr="00BA6190">
        <w:rPr>
          <w:rFonts w:ascii="Times New Roman" w:eastAsia="Times New Roman" w:hAnsi="Times New Roman" w:cs="Times New Roman"/>
          <w:sz w:val="24"/>
          <w:szCs w:val="24"/>
          <w:vertAlign w:val="superscript"/>
          <w:lang w:eastAsia="bg-BG"/>
        </w:rPr>
        <w:footnoteReference w:id="3"/>
      </w:r>
      <w:r w:rsidRPr="00BA6190">
        <w:rPr>
          <w:rFonts w:ascii="Times New Roman" w:eastAsia="Times New Roman" w:hAnsi="Times New Roman" w:cs="Times New Roman"/>
          <w:sz w:val="24"/>
          <w:szCs w:val="24"/>
          <w:lang w:eastAsia="bg-BG"/>
        </w:rPr>
        <w:t>, то те попълват Декларацията до т. 4 включително, където посочват отговор „НЕ“. Освен това, следва да се запознаят със съдържанието на т. 20 и т. 21 от Декларацията, след което да я подпишат;</w:t>
      </w:r>
    </w:p>
    <w:p w:rsidR="00BA6190" w:rsidRPr="00BA6190" w:rsidRDefault="00BA6190" w:rsidP="00BA6190">
      <w:pPr>
        <w:widowControl w:val="0"/>
        <w:numPr>
          <w:ilvl w:val="0"/>
          <w:numId w:val="29"/>
        </w:numPr>
        <w:overflowPunct w:val="0"/>
        <w:autoSpaceDE w:val="0"/>
        <w:autoSpaceDN w:val="0"/>
        <w:adjustRightInd w:val="0"/>
        <w:snapToGrid w:val="0"/>
        <w:spacing w:after="120" w:line="240" w:lineRule="auto"/>
        <w:jc w:val="both"/>
        <w:rPr>
          <w:rFonts w:ascii="Times New Roman" w:eastAsia="Times New Roman" w:hAnsi="Times New Roman" w:cs="Times New Roman"/>
          <w:sz w:val="24"/>
          <w:szCs w:val="24"/>
          <w:lang w:eastAsia="bg-BG"/>
        </w:rPr>
      </w:pPr>
      <w:r w:rsidRPr="00BA6190">
        <w:rPr>
          <w:rFonts w:ascii="Times New Roman" w:eastAsia="Times New Roman" w:hAnsi="Times New Roman" w:cs="Times New Roman"/>
          <w:sz w:val="24"/>
          <w:szCs w:val="24"/>
          <w:lang w:eastAsia="bg-BG"/>
        </w:rPr>
        <w:t>При попълване на Декларацията от собственик на СО със стопанско предназначение, който обаче към датата на декларирането</w:t>
      </w:r>
      <w:r w:rsidRPr="00BA6190">
        <w:rPr>
          <w:rFonts w:ascii="Times New Roman" w:eastAsia="Times New Roman" w:hAnsi="Times New Roman" w:cs="Times New Roman"/>
          <w:sz w:val="24"/>
          <w:szCs w:val="24"/>
          <w:vertAlign w:val="superscript"/>
          <w:lang w:eastAsia="bg-BG"/>
        </w:rPr>
        <w:footnoteReference w:id="4"/>
      </w:r>
      <w:r w:rsidRPr="00BA6190">
        <w:rPr>
          <w:rFonts w:ascii="Times New Roman" w:eastAsia="Times New Roman" w:hAnsi="Times New Roman" w:cs="Times New Roman"/>
          <w:sz w:val="24"/>
          <w:szCs w:val="24"/>
          <w:lang w:eastAsia="bg-BG"/>
        </w:rPr>
        <w:t xml:space="preserve"> и през предходните две данъчни години</w:t>
      </w:r>
      <w:r w:rsidRPr="00BA6190">
        <w:rPr>
          <w:rFonts w:ascii="Times New Roman" w:eastAsia="Times New Roman" w:hAnsi="Times New Roman" w:cs="Times New Roman"/>
          <w:sz w:val="24"/>
          <w:szCs w:val="24"/>
          <w:vertAlign w:val="superscript"/>
          <w:lang w:eastAsia="bg-BG"/>
        </w:rPr>
        <w:footnoteReference w:id="5"/>
      </w:r>
      <w:r w:rsidRPr="00BA6190">
        <w:rPr>
          <w:rFonts w:ascii="Times New Roman" w:eastAsia="Times New Roman" w:hAnsi="Times New Roman" w:cs="Times New Roman"/>
          <w:sz w:val="24"/>
          <w:szCs w:val="24"/>
          <w:lang w:eastAsia="bg-BG"/>
        </w:rPr>
        <w:t xml:space="preserve"> не се използва за извършване на икономическа дейност, то в този случай е приложима хипотезата на горното тире. Следва да се има предвид, че ако СО, въпреки че към датата на декларирането не се използва за извършване на икономическа дейност, но през предходните две данъчни години е бил използван за такива цели, то за посочените години собственикът на СО попада в обхвата на правилата за минималните помощи. Следователно, в т. 4 от Декларацията собственикът отбелязва отговор „НЕ“, но освен това следва да попълни дали и какви минимални помощи е получил през предходните две данъчни години;</w:t>
      </w:r>
    </w:p>
    <w:p w:rsidR="00BA6190" w:rsidRPr="00BA6190" w:rsidRDefault="00BA6190" w:rsidP="00BA6190">
      <w:pPr>
        <w:widowControl w:val="0"/>
        <w:numPr>
          <w:ilvl w:val="0"/>
          <w:numId w:val="29"/>
        </w:numPr>
        <w:overflowPunct w:val="0"/>
        <w:autoSpaceDE w:val="0"/>
        <w:autoSpaceDN w:val="0"/>
        <w:adjustRightInd w:val="0"/>
        <w:snapToGrid w:val="0"/>
        <w:spacing w:after="120" w:line="240" w:lineRule="auto"/>
        <w:jc w:val="both"/>
        <w:rPr>
          <w:rFonts w:ascii="Times New Roman" w:eastAsia="Times New Roman" w:hAnsi="Times New Roman" w:cs="Times New Roman"/>
          <w:sz w:val="24"/>
          <w:szCs w:val="24"/>
          <w:lang w:eastAsia="bg-BG"/>
        </w:rPr>
      </w:pPr>
      <w:r w:rsidRPr="00BA6190">
        <w:rPr>
          <w:rFonts w:ascii="Times New Roman" w:eastAsia="Times New Roman" w:hAnsi="Times New Roman" w:cs="Times New Roman"/>
          <w:sz w:val="24"/>
          <w:szCs w:val="24"/>
          <w:lang w:eastAsia="bg-BG"/>
        </w:rPr>
        <w:t xml:space="preserve">В хипотеза, при която СО се използва за жилищни цели, но на адреса на СО е </w:t>
      </w:r>
      <w:r w:rsidRPr="00BA6190">
        <w:rPr>
          <w:rFonts w:ascii="Times New Roman" w:eastAsia="Times New Roman" w:hAnsi="Times New Roman" w:cs="Times New Roman"/>
          <w:sz w:val="24"/>
          <w:szCs w:val="24"/>
          <w:lang w:eastAsia="bg-BG"/>
        </w:rPr>
        <w:lastRenderedPageBreak/>
        <w:t>регистрирано дружество/ЕТ по смисъла на Търговския закон (ТЗ) или лице, упражняващо свободна професия, то за целите на (не)приложимостта на режима на минималните помощи спрямо ССО от значение е дали в СО от страна на регистрираното дружество/ЕТ се извършва икономическа дейност, или не, респективно дали ССО реално извършва икономическа дейност под някаква форма в обекта. При условие, че е налице икономическа дейност в/чрез СО, то ССО следва да попълни Декларация за минимални и държавни помощи. В случай, че в/чрез СО не се извършва икономическа дейност, то спрямо ССО е приложима хипотезата на първото тире по-горе.</w:t>
      </w:r>
    </w:p>
    <w:p w:rsidR="00BA6190" w:rsidRPr="00BA6190" w:rsidRDefault="00BA6190" w:rsidP="00BA6190">
      <w:pPr>
        <w:widowControl w:val="0"/>
        <w:overflowPunct w:val="0"/>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BA6190">
        <w:rPr>
          <w:rFonts w:ascii="Times New Roman" w:hAnsi="Times New Roman" w:cs="Times New Roman"/>
          <w:color w:val="000000" w:themeColor="text1"/>
          <w:sz w:val="24"/>
          <w:szCs w:val="24"/>
        </w:rPr>
        <w:t xml:space="preserve">В Приложение </w:t>
      </w:r>
      <w:r w:rsidRPr="00BA6190">
        <w:rPr>
          <w:rFonts w:ascii="Times New Roman" w:eastAsiaTheme="minorEastAsia" w:hAnsi="Times New Roman" w:cs="Times New Roman"/>
          <w:noProof/>
          <w:color w:val="000000" w:themeColor="text1"/>
          <w:sz w:val="24"/>
          <w:szCs w:val="24"/>
        </w:rPr>
        <w:t xml:space="preserve">№ </w:t>
      </w:r>
      <w:r w:rsidRPr="00BA6190">
        <w:rPr>
          <w:rFonts w:ascii="Times New Roman" w:hAnsi="Times New Roman" w:cs="Times New Roman"/>
          <w:color w:val="000000" w:themeColor="text1"/>
          <w:sz w:val="24"/>
          <w:szCs w:val="24"/>
        </w:rPr>
        <w:t>7 към Указанията за изпълнение на проекти за енергийна ефективност на жилищни сгради, финансирани по Приоритетна ос 2: „Подкрепа за енергийна ефективност в опорни центрове в периферните райони“ на Оперативна програма „Региони в растеж“ 2014 – 2020 – Справка за ССО – всеки ССО следва да посочи за какви цели се използва самостоятелният обект.</w:t>
      </w:r>
    </w:p>
    <w:p w:rsidR="00BA6190" w:rsidRPr="00BA6190" w:rsidRDefault="00BA6190" w:rsidP="00BA6190">
      <w:pPr>
        <w:widowControl w:val="0"/>
        <w:overflowPunct w:val="0"/>
        <w:autoSpaceDE w:val="0"/>
        <w:autoSpaceDN w:val="0"/>
        <w:adjustRightInd w:val="0"/>
        <w:snapToGrid w:val="0"/>
        <w:spacing w:after="120" w:line="240" w:lineRule="auto"/>
        <w:jc w:val="both"/>
        <w:rPr>
          <w:rFonts w:ascii="Times New Roman" w:hAnsi="Times New Roman" w:cs="Times New Roman"/>
          <w:sz w:val="24"/>
          <w:szCs w:val="24"/>
        </w:rPr>
      </w:pPr>
      <w:r w:rsidRPr="00BA6190">
        <w:rPr>
          <w:rFonts w:ascii="Times New Roman" w:hAnsi="Times New Roman" w:cs="Times New Roman"/>
          <w:sz w:val="24"/>
          <w:szCs w:val="24"/>
        </w:rPr>
        <w:t xml:space="preserve">Минималната помощ се счита за получена от момента на сключване на договора за целево финансиране или от датата на издаване на друг приложим документ, който дава на собственика юридическото право да я получи. </w:t>
      </w:r>
    </w:p>
    <w:p w:rsidR="00BA6190" w:rsidRPr="00BA6190" w:rsidRDefault="00BA6190" w:rsidP="00BA6190">
      <w:pPr>
        <w:widowControl w:val="0"/>
        <w:overflowPunct w:val="0"/>
        <w:autoSpaceDE w:val="0"/>
        <w:autoSpaceDN w:val="0"/>
        <w:adjustRightInd w:val="0"/>
        <w:snapToGrid w:val="0"/>
        <w:spacing w:after="120" w:line="240" w:lineRule="auto"/>
        <w:ind w:left="6"/>
        <w:jc w:val="both"/>
        <w:rPr>
          <w:rFonts w:ascii="Times New Roman" w:hAnsi="Times New Roman" w:cs="Times New Roman"/>
          <w:sz w:val="24"/>
          <w:szCs w:val="24"/>
        </w:rPr>
      </w:pPr>
      <w:r w:rsidRPr="00BA6190">
        <w:rPr>
          <w:rFonts w:ascii="Times New Roman" w:hAnsi="Times New Roman" w:cs="Times New Roman"/>
          <w:sz w:val="24"/>
          <w:szCs w:val="24"/>
        </w:rPr>
        <w:t>В случаите, когато за ССО се установи, че:</w:t>
      </w:r>
    </w:p>
    <w:p w:rsidR="00BA6190" w:rsidRPr="00BA6190" w:rsidRDefault="00BA6190" w:rsidP="00BA6190">
      <w:pPr>
        <w:widowControl w:val="0"/>
        <w:numPr>
          <w:ilvl w:val="0"/>
          <w:numId w:val="26"/>
        </w:numPr>
        <w:overflowPunct w:val="0"/>
        <w:autoSpaceDE w:val="0"/>
        <w:autoSpaceDN w:val="0"/>
        <w:adjustRightInd w:val="0"/>
        <w:snapToGrid w:val="0"/>
        <w:spacing w:after="120" w:line="240" w:lineRule="auto"/>
        <w:jc w:val="both"/>
        <w:rPr>
          <w:rFonts w:ascii="Times New Roman" w:eastAsia="Times New Roman" w:hAnsi="Times New Roman" w:cs="Times New Roman"/>
          <w:sz w:val="24"/>
          <w:szCs w:val="24"/>
          <w:lang w:eastAsia="bg-BG"/>
        </w:rPr>
      </w:pPr>
      <w:r w:rsidRPr="00BA6190">
        <w:rPr>
          <w:rFonts w:ascii="Times New Roman" w:eastAsia="Times New Roman" w:hAnsi="Times New Roman" w:cs="Times New Roman"/>
          <w:sz w:val="24"/>
          <w:szCs w:val="24"/>
          <w:lang w:eastAsia="bg-BG"/>
        </w:rPr>
        <w:t xml:space="preserve"> ССО е получил минимална помощ в размер, която не позволява да получи БФП по проекта и се нахвърлят установените в </w:t>
      </w:r>
      <w:r w:rsidRPr="00BA6190">
        <w:rPr>
          <w:rFonts w:ascii="Times New Roman" w:eastAsia="Times New Roman" w:hAnsi="Times New Roman" w:cs="Times New Roman"/>
          <w:color w:val="000000" w:themeColor="text1"/>
          <w:sz w:val="24"/>
          <w:szCs w:val="24"/>
          <w:lang w:eastAsia="bg-BG"/>
        </w:rPr>
        <w:t>Регламент (ЕС) № 1407/2013 прагове,</w:t>
      </w:r>
      <w:r w:rsidRPr="00BA6190">
        <w:rPr>
          <w:rFonts w:ascii="Times New Roman" w:eastAsia="Times New Roman" w:hAnsi="Times New Roman" w:cs="Times New Roman"/>
          <w:sz w:val="24"/>
          <w:szCs w:val="24"/>
          <w:lang w:eastAsia="bg-BG"/>
        </w:rPr>
        <w:t xml:space="preserve"> то към съответния ССО следва да се прилагат правилата на Компонент II, описани в т. 5 от настоящите условия.</w:t>
      </w:r>
    </w:p>
    <w:p w:rsidR="00BA6190" w:rsidRPr="00BA6190" w:rsidRDefault="00BA6190" w:rsidP="00BA6190">
      <w:pPr>
        <w:widowControl w:val="0"/>
        <w:numPr>
          <w:ilvl w:val="0"/>
          <w:numId w:val="26"/>
        </w:numPr>
        <w:overflowPunct w:val="0"/>
        <w:autoSpaceDE w:val="0"/>
        <w:autoSpaceDN w:val="0"/>
        <w:adjustRightInd w:val="0"/>
        <w:snapToGrid w:val="0"/>
        <w:spacing w:after="120" w:line="240" w:lineRule="auto"/>
        <w:jc w:val="both"/>
        <w:rPr>
          <w:rFonts w:ascii="Times New Roman" w:eastAsia="Times New Roman" w:hAnsi="Times New Roman" w:cs="Times New Roman"/>
          <w:sz w:val="24"/>
          <w:szCs w:val="24"/>
          <w:lang w:eastAsia="bg-BG"/>
        </w:rPr>
      </w:pPr>
      <w:r w:rsidRPr="00BA6190">
        <w:rPr>
          <w:rFonts w:ascii="Times New Roman" w:eastAsia="Times New Roman" w:hAnsi="Times New Roman" w:cs="Times New Roman"/>
          <w:sz w:val="24"/>
          <w:szCs w:val="24"/>
          <w:lang w:eastAsia="bg-BG"/>
        </w:rPr>
        <w:t xml:space="preserve">ССО е получил минимална помощ в размер, която позволява ССО да получи и БФП по проекта до установените прагове. В този случай, като помощ по проекта, може да се предостави БФП в такъв размер, който сумиран с всички други минимални помощи, получени от ССО през двете предходни фискални години и текущата е до стойностите на установените в Регламент (ЕС) № 1407/2013 прагове. За остатъка до пълния размер на БФП по проекта, надвишаващ установените в регламента прагове, към ССО следва да се прилагат правилата на Компонент II, описани в т. 5 от настоящите условия. Последното означава, че ССО заплаща за своя сметка само превишението над праговете по регламента. </w:t>
      </w:r>
    </w:p>
    <w:p w:rsidR="00BA6190" w:rsidRPr="00BA6190" w:rsidRDefault="00BA6190" w:rsidP="00BA6190">
      <w:pPr>
        <w:widowControl w:val="0"/>
        <w:numPr>
          <w:ilvl w:val="1"/>
          <w:numId w:val="24"/>
        </w:numPr>
        <w:overflowPunct w:val="0"/>
        <w:autoSpaceDE w:val="0"/>
        <w:autoSpaceDN w:val="0"/>
        <w:adjustRightInd w:val="0"/>
        <w:snapToGrid w:val="0"/>
        <w:spacing w:after="120" w:line="240" w:lineRule="auto"/>
        <w:jc w:val="both"/>
        <w:rPr>
          <w:rFonts w:ascii="Times New Roman" w:hAnsi="Times New Roman" w:cs="Times New Roman"/>
          <w:b/>
          <w:sz w:val="24"/>
          <w:szCs w:val="24"/>
        </w:rPr>
      </w:pPr>
      <w:r w:rsidRPr="00BA6190">
        <w:rPr>
          <w:rFonts w:ascii="Times New Roman" w:hAnsi="Times New Roman" w:cs="Times New Roman"/>
          <w:b/>
          <w:sz w:val="24"/>
          <w:szCs w:val="24"/>
        </w:rPr>
        <w:t xml:space="preserve"> Натрупване на помощта „de minimis“</w:t>
      </w:r>
    </w:p>
    <w:p w:rsidR="00BA6190" w:rsidRPr="00BA6190" w:rsidRDefault="00BA6190" w:rsidP="00BA6190">
      <w:pPr>
        <w:snapToGrid w:val="0"/>
        <w:spacing w:after="120" w:line="240" w:lineRule="auto"/>
        <w:ind w:left="4"/>
        <w:jc w:val="both"/>
        <w:rPr>
          <w:rFonts w:ascii="Times New Roman" w:hAnsi="Times New Roman" w:cs="Times New Roman"/>
          <w:color w:val="000000" w:themeColor="text1"/>
          <w:sz w:val="24"/>
          <w:szCs w:val="24"/>
        </w:rPr>
      </w:pPr>
      <w:r w:rsidRPr="00BA6190">
        <w:rPr>
          <w:rFonts w:ascii="Times New Roman" w:hAnsi="Times New Roman" w:cs="Times New Roman"/>
          <w:color w:val="000000" w:themeColor="text1"/>
          <w:sz w:val="24"/>
          <w:szCs w:val="24"/>
        </w:rPr>
        <w:t>Помощта de minimis, предоставена съгласно настоящaта схема, може да се натрупва с:</w:t>
      </w:r>
    </w:p>
    <w:p w:rsidR="00BA6190" w:rsidRPr="00BA6190" w:rsidRDefault="00BA6190" w:rsidP="00BA6190">
      <w:pPr>
        <w:numPr>
          <w:ilvl w:val="0"/>
          <w:numId w:val="25"/>
        </w:numPr>
        <w:snapToGrid w:val="0"/>
        <w:spacing w:after="120" w:line="240" w:lineRule="auto"/>
        <w:jc w:val="both"/>
        <w:rPr>
          <w:rFonts w:ascii="Times New Roman" w:eastAsia="Times New Roman" w:hAnsi="Times New Roman" w:cs="Times New Roman"/>
          <w:color w:val="000000" w:themeColor="text1"/>
          <w:sz w:val="24"/>
          <w:szCs w:val="24"/>
          <w:lang w:eastAsia="bg-BG"/>
        </w:rPr>
      </w:pPr>
      <w:r w:rsidRPr="00BA6190">
        <w:rPr>
          <w:rFonts w:ascii="Times New Roman" w:eastAsia="Times New Roman" w:hAnsi="Times New Roman" w:cs="Times New Roman"/>
          <w:color w:val="000000" w:themeColor="text1"/>
          <w:sz w:val="24"/>
          <w:szCs w:val="24"/>
          <w:lang w:eastAsia="bg-BG"/>
        </w:rPr>
        <w:t xml:space="preserve"> помощ de minimis, предоставена съгласно Регламент (ЕС) № 360/2012 на Комисията</w:t>
      </w:r>
      <w:r w:rsidRPr="00BA6190">
        <w:rPr>
          <w:rFonts w:ascii="Times New Roman" w:eastAsia="Times New Roman" w:hAnsi="Times New Roman" w:cs="Times New Roman"/>
          <w:color w:val="000000" w:themeColor="text1"/>
          <w:sz w:val="24"/>
          <w:szCs w:val="24"/>
          <w:vertAlign w:val="superscript"/>
          <w:lang w:eastAsia="bg-BG"/>
        </w:rPr>
        <w:footnoteReference w:id="6"/>
      </w:r>
      <w:r w:rsidRPr="00BA6190">
        <w:rPr>
          <w:rFonts w:ascii="Times New Roman" w:eastAsia="Times New Roman" w:hAnsi="Times New Roman" w:cs="Times New Roman"/>
          <w:color w:val="000000" w:themeColor="text1"/>
          <w:sz w:val="24"/>
          <w:szCs w:val="24"/>
          <w:lang w:eastAsia="bg-BG"/>
        </w:rPr>
        <w:t xml:space="preserve"> до тавана, установен в посочения регламент;</w:t>
      </w:r>
    </w:p>
    <w:p w:rsidR="00BA6190" w:rsidRPr="00BA6190" w:rsidRDefault="00BA6190" w:rsidP="00BA6190">
      <w:pPr>
        <w:numPr>
          <w:ilvl w:val="0"/>
          <w:numId w:val="25"/>
        </w:numPr>
        <w:snapToGrid w:val="0"/>
        <w:spacing w:after="120" w:line="240" w:lineRule="auto"/>
        <w:jc w:val="both"/>
        <w:rPr>
          <w:rFonts w:ascii="Times New Roman" w:eastAsia="Times New Roman" w:hAnsi="Times New Roman" w:cs="Times New Roman"/>
          <w:color w:val="000000" w:themeColor="text1"/>
          <w:sz w:val="24"/>
          <w:szCs w:val="24"/>
          <w:lang w:eastAsia="bg-BG"/>
        </w:rPr>
      </w:pPr>
      <w:r w:rsidRPr="00BA6190">
        <w:rPr>
          <w:rFonts w:ascii="Times New Roman" w:eastAsia="Times New Roman" w:hAnsi="Times New Roman" w:cs="Times New Roman"/>
          <w:color w:val="000000" w:themeColor="text1"/>
          <w:sz w:val="24"/>
          <w:szCs w:val="24"/>
          <w:lang w:eastAsia="bg-BG"/>
        </w:rPr>
        <w:lastRenderedPageBreak/>
        <w:t xml:space="preserve"> помощ de minimis, предоставяна съгласно други регламенти за помощ de minimis, до съответния таван, определен в Регламент (ЕС) № 1407/2013. </w:t>
      </w:r>
    </w:p>
    <w:p w:rsidR="00BA6190" w:rsidRPr="00BA6190" w:rsidRDefault="00BA6190" w:rsidP="00BA6190">
      <w:pPr>
        <w:snapToGrid w:val="0"/>
        <w:spacing w:after="120" w:line="240" w:lineRule="auto"/>
        <w:jc w:val="both"/>
        <w:rPr>
          <w:rFonts w:ascii="Times New Roman" w:hAnsi="Times New Roman" w:cs="Times New Roman"/>
          <w:color w:val="000000" w:themeColor="text1"/>
          <w:sz w:val="24"/>
          <w:szCs w:val="24"/>
        </w:rPr>
      </w:pPr>
      <w:r w:rsidRPr="00BA6190">
        <w:rPr>
          <w:rFonts w:ascii="Times New Roman" w:hAnsi="Times New Roman" w:cs="Times New Roman"/>
          <w:color w:val="000000" w:themeColor="text1"/>
          <w:sz w:val="24"/>
          <w:szCs w:val="24"/>
        </w:rPr>
        <w:t>Помощта de minimis не се натрупва с държавна помощ, отпусната за същите допустими разходи.</w:t>
      </w:r>
    </w:p>
    <w:p w:rsidR="00BA6190" w:rsidRPr="00BA6190" w:rsidRDefault="00BA6190" w:rsidP="00BA6190">
      <w:pPr>
        <w:widowControl w:val="0"/>
        <w:numPr>
          <w:ilvl w:val="1"/>
          <w:numId w:val="24"/>
        </w:numPr>
        <w:overflowPunct w:val="0"/>
        <w:autoSpaceDE w:val="0"/>
        <w:autoSpaceDN w:val="0"/>
        <w:adjustRightInd w:val="0"/>
        <w:snapToGrid w:val="0"/>
        <w:spacing w:after="120" w:line="240" w:lineRule="auto"/>
        <w:jc w:val="both"/>
        <w:rPr>
          <w:rFonts w:ascii="Times New Roman" w:hAnsi="Times New Roman" w:cs="Times New Roman"/>
          <w:b/>
          <w:sz w:val="24"/>
          <w:szCs w:val="24"/>
        </w:rPr>
      </w:pPr>
      <w:r w:rsidRPr="00BA6190">
        <w:rPr>
          <w:rFonts w:ascii="Times New Roman" w:hAnsi="Times New Roman" w:cs="Times New Roman"/>
          <w:b/>
          <w:sz w:val="24"/>
          <w:szCs w:val="24"/>
        </w:rPr>
        <w:t xml:space="preserve"> Допустими разходи за финансиране</w:t>
      </w:r>
    </w:p>
    <w:p w:rsidR="00BA6190" w:rsidRPr="00BA6190" w:rsidRDefault="00BA6190" w:rsidP="00BA6190">
      <w:pPr>
        <w:snapToGrid w:val="0"/>
        <w:spacing w:after="120" w:line="240" w:lineRule="auto"/>
        <w:ind w:left="6"/>
        <w:jc w:val="both"/>
        <w:rPr>
          <w:rFonts w:ascii="Times New Roman" w:hAnsi="Times New Roman" w:cs="Times New Roman"/>
          <w:color w:val="000000" w:themeColor="text1"/>
          <w:sz w:val="24"/>
          <w:szCs w:val="24"/>
          <w:lang w:val="en-US"/>
        </w:rPr>
      </w:pPr>
      <w:r w:rsidRPr="00BA6190">
        <w:rPr>
          <w:rFonts w:ascii="Times New Roman" w:hAnsi="Times New Roman" w:cs="Times New Roman"/>
          <w:color w:val="000000" w:themeColor="text1"/>
          <w:sz w:val="24"/>
          <w:szCs w:val="24"/>
        </w:rPr>
        <w:t xml:space="preserve">БФП, под формата на минимална помощ за ССО се предоставя за покриване на допустими разходи, определени в Указанията за изпълнение на </w:t>
      </w:r>
      <w:r w:rsidRPr="00BA6190">
        <w:rPr>
          <w:rFonts w:ascii="Times New Roman" w:hAnsi="Times New Roman" w:cs="Times New Roman"/>
          <w:sz w:val="24"/>
          <w:szCs w:val="24"/>
        </w:rPr>
        <w:t>проекти за енергийна ефективност на жилищни сгради, финансирани по Приоритетна ос 2: „Подкрепа за енергийна ефективност в опорни центрове в периферните райони“ на Оперативна програма „Региони в растеж“ 2014 – 2020.</w:t>
      </w:r>
      <w:r w:rsidRPr="00BA6190">
        <w:rPr>
          <w:rFonts w:ascii="Times New Roman" w:hAnsi="Times New Roman" w:cs="Times New Roman"/>
          <w:color w:val="000000" w:themeColor="text1"/>
          <w:sz w:val="24"/>
          <w:szCs w:val="24"/>
        </w:rPr>
        <w:t xml:space="preserve"> </w:t>
      </w:r>
      <w:r w:rsidRPr="00BA6190">
        <w:rPr>
          <w:rFonts w:ascii="Times New Roman" w:hAnsi="Times New Roman" w:cs="Times New Roman"/>
          <w:color w:val="000000" w:themeColor="text1"/>
          <w:sz w:val="24"/>
          <w:szCs w:val="24"/>
          <w:lang w:val="en-US"/>
        </w:rPr>
        <w:t xml:space="preserve"> </w:t>
      </w:r>
    </w:p>
    <w:p w:rsidR="00BA6190" w:rsidRPr="00BA6190" w:rsidRDefault="00BA6190" w:rsidP="00BA6190">
      <w:pPr>
        <w:snapToGrid w:val="0"/>
        <w:spacing w:after="120" w:line="240" w:lineRule="auto"/>
        <w:ind w:left="6"/>
        <w:jc w:val="both"/>
        <w:rPr>
          <w:rFonts w:ascii="Times New Roman" w:hAnsi="Times New Roman" w:cs="Times New Roman"/>
          <w:color w:val="000000" w:themeColor="text1"/>
          <w:sz w:val="24"/>
          <w:szCs w:val="24"/>
        </w:rPr>
      </w:pPr>
      <w:r w:rsidRPr="00BA6190">
        <w:rPr>
          <w:rFonts w:ascii="Times New Roman" w:hAnsi="Times New Roman" w:cs="Times New Roman"/>
          <w:color w:val="000000" w:themeColor="text1"/>
          <w:sz w:val="24"/>
          <w:szCs w:val="24"/>
        </w:rPr>
        <w:t>Минималната помощ (БФП) за всеки самостоятелен обект се изчислява на база притежаван процент идеални части от общите в сградата за всяка извършена дейност по общите части на сградата (</w:t>
      </w:r>
      <w:r w:rsidRPr="00BA6190">
        <w:rPr>
          <w:rFonts w:ascii="Times New Roman" w:hAnsi="Times New Roman" w:cs="Times New Roman"/>
          <w:bCs/>
          <w:sz w:val="24"/>
          <w:szCs w:val="24"/>
        </w:rPr>
        <w:t>разходи за техническо обследване, обследване за енергийна ефективност, проектиране, оценка за съответствието, СМР, авторски надзор, строителен надзор и инвеститорски контрол, разходи, свързани с набавянето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 разходи, свързани с въвеждането на обекта в експлоатация</w:t>
      </w:r>
      <w:r w:rsidRPr="00BA6190">
        <w:rPr>
          <w:rFonts w:ascii="Times New Roman" w:hAnsi="Times New Roman" w:cs="Times New Roman"/>
          <w:color w:val="000000" w:themeColor="text1"/>
          <w:sz w:val="24"/>
          <w:szCs w:val="24"/>
        </w:rPr>
        <w:t xml:space="preserve">), заедно с разходите за дейностите, извършени за отделния СО, когато това е приложимо. </w:t>
      </w:r>
    </w:p>
    <w:p w:rsidR="00BA6190" w:rsidRPr="00BA6190" w:rsidRDefault="00BA6190" w:rsidP="00BA6190">
      <w:pPr>
        <w:snapToGrid w:val="0"/>
        <w:spacing w:after="120" w:line="240" w:lineRule="auto"/>
        <w:ind w:left="6"/>
        <w:jc w:val="both"/>
        <w:rPr>
          <w:rFonts w:ascii="Times New Roman" w:hAnsi="Times New Roman" w:cs="Times New Roman"/>
          <w:color w:val="000000" w:themeColor="text1"/>
          <w:sz w:val="24"/>
          <w:szCs w:val="24"/>
        </w:rPr>
      </w:pPr>
      <w:r w:rsidRPr="00BA6190">
        <w:rPr>
          <w:rFonts w:ascii="Times New Roman" w:hAnsi="Times New Roman" w:cs="Times New Roman"/>
          <w:color w:val="000000" w:themeColor="text1"/>
          <w:sz w:val="24"/>
          <w:szCs w:val="24"/>
        </w:rPr>
        <w:t>Разходите за подмяна на дограма се изчисляват отделно за всеки самостоятелен обект.</w:t>
      </w:r>
    </w:p>
    <w:p w:rsidR="00BA6190" w:rsidRPr="00BA6190" w:rsidRDefault="00BA6190" w:rsidP="00BA6190">
      <w:pPr>
        <w:snapToGrid w:val="0"/>
        <w:spacing w:after="120" w:line="240" w:lineRule="auto"/>
        <w:ind w:left="6"/>
        <w:jc w:val="both"/>
        <w:rPr>
          <w:rFonts w:ascii="Times New Roman" w:hAnsi="Times New Roman" w:cs="Times New Roman"/>
          <w:sz w:val="24"/>
          <w:szCs w:val="24"/>
        </w:rPr>
      </w:pPr>
      <w:r w:rsidRPr="00BA6190">
        <w:rPr>
          <w:rFonts w:ascii="Times New Roman" w:hAnsi="Times New Roman" w:cs="Times New Roman"/>
          <w:color w:val="000000" w:themeColor="text1"/>
          <w:sz w:val="24"/>
          <w:szCs w:val="24"/>
        </w:rPr>
        <w:t>При изчисленията на разходите за собственика следва да се спазва редът, описан в П</w:t>
      </w:r>
      <w:r w:rsidRPr="00BA6190">
        <w:rPr>
          <w:rFonts w:ascii="Times New Roman" w:hAnsi="Times New Roman" w:cs="Times New Roman"/>
          <w:sz w:val="24"/>
          <w:szCs w:val="24"/>
        </w:rPr>
        <w:t xml:space="preserve">риложение </w:t>
      </w:r>
      <w:r w:rsidRPr="00BA6190">
        <w:rPr>
          <w:rFonts w:ascii="Times New Roman" w:hAnsi="Times New Roman" w:cs="Times New Roman"/>
          <w:bCs/>
          <w:sz w:val="24"/>
          <w:szCs w:val="24"/>
        </w:rPr>
        <w:t xml:space="preserve">№ </w:t>
      </w:r>
      <w:r w:rsidRPr="00BA6190">
        <w:rPr>
          <w:rFonts w:ascii="Times New Roman" w:hAnsi="Times New Roman" w:cs="Times New Roman"/>
          <w:sz w:val="24"/>
          <w:szCs w:val="24"/>
        </w:rPr>
        <w:t>1.1 към настоящите условия, приложим за Компонент I.</w:t>
      </w:r>
    </w:p>
    <w:p w:rsidR="00BA6190" w:rsidRPr="00BA6190" w:rsidRDefault="00BA6190" w:rsidP="00BA6190">
      <w:pPr>
        <w:snapToGrid w:val="0"/>
        <w:spacing w:after="120" w:line="240" w:lineRule="auto"/>
        <w:ind w:left="6"/>
        <w:jc w:val="both"/>
        <w:rPr>
          <w:rFonts w:ascii="Times New Roman" w:hAnsi="Times New Roman" w:cs="Times New Roman"/>
          <w:color w:val="000000" w:themeColor="text1"/>
          <w:sz w:val="24"/>
          <w:szCs w:val="24"/>
        </w:rPr>
      </w:pPr>
      <w:r w:rsidRPr="00BA6190">
        <w:rPr>
          <w:rFonts w:ascii="Times New Roman" w:hAnsi="Times New Roman" w:cs="Times New Roman"/>
          <w:sz w:val="24"/>
          <w:szCs w:val="24"/>
        </w:rPr>
        <w:t xml:space="preserve">В приложение </w:t>
      </w:r>
      <w:r w:rsidRPr="00BA6190">
        <w:rPr>
          <w:rFonts w:ascii="Times New Roman" w:hAnsi="Times New Roman" w:cs="Times New Roman"/>
          <w:bCs/>
          <w:sz w:val="24"/>
          <w:szCs w:val="24"/>
        </w:rPr>
        <w:t xml:space="preserve">№ </w:t>
      </w:r>
      <w:r w:rsidRPr="00BA6190">
        <w:rPr>
          <w:rFonts w:ascii="Times New Roman" w:hAnsi="Times New Roman" w:cs="Times New Roman"/>
          <w:sz w:val="24"/>
          <w:szCs w:val="24"/>
        </w:rPr>
        <w:t xml:space="preserve">1.1 са описани и всички допустими разходи по проектите за енергийна ефективност на </w:t>
      </w:r>
      <w:r w:rsidRPr="00BA6190">
        <w:rPr>
          <w:rFonts w:ascii="Times New Roman" w:hAnsi="Times New Roman" w:cs="Times New Roman"/>
          <w:color w:val="000000" w:themeColor="text1"/>
          <w:sz w:val="24"/>
          <w:szCs w:val="24"/>
        </w:rPr>
        <w:t>жилищни сгради, финансирани по Приоритетна ос 2: „Подкрепа за енергийна ефективност в опорни центрове в периферните райони“ на Оперативна програма „Региони в растеж“ 2014 – 2020</w:t>
      </w:r>
      <w:r w:rsidRPr="00BA6190">
        <w:rPr>
          <w:rFonts w:ascii="Times New Roman" w:hAnsi="Times New Roman" w:cs="Times New Roman"/>
          <w:sz w:val="24"/>
          <w:szCs w:val="24"/>
        </w:rPr>
        <w:t>.</w:t>
      </w:r>
    </w:p>
    <w:p w:rsidR="00BA6190" w:rsidRPr="00BA6190" w:rsidRDefault="00BA6190" w:rsidP="00BA6190">
      <w:pPr>
        <w:snapToGrid w:val="0"/>
        <w:spacing w:after="120" w:line="240" w:lineRule="auto"/>
        <w:jc w:val="both"/>
        <w:rPr>
          <w:rFonts w:ascii="Times New Roman" w:eastAsia="Times New Roman" w:hAnsi="Times New Roman" w:cs="Times New Roman"/>
          <w:color w:val="000000" w:themeColor="text1"/>
          <w:sz w:val="24"/>
          <w:szCs w:val="24"/>
          <w:lang w:eastAsia="bg-BG"/>
        </w:rPr>
      </w:pPr>
    </w:p>
    <w:p w:rsidR="00BA6190" w:rsidRPr="00BA6190" w:rsidRDefault="00BA6190" w:rsidP="00BA6190">
      <w:pPr>
        <w:widowControl w:val="0"/>
        <w:numPr>
          <w:ilvl w:val="0"/>
          <w:numId w:val="24"/>
        </w:numPr>
        <w:autoSpaceDE w:val="0"/>
        <w:autoSpaceDN w:val="0"/>
        <w:adjustRightInd w:val="0"/>
        <w:snapToGrid w:val="0"/>
        <w:spacing w:after="120" w:line="240" w:lineRule="auto"/>
        <w:rPr>
          <w:rFonts w:ascii="Times New Roman" w:hAnsi="Times New Roman" w:cs="Times New Roman"/>
          <w:b/>
          <w:bCs/>
          <w:sz w:val="24"/>
          <w:szCs w:val="24"/>
        </w:rPr>
      </w:pPr>
      <w:r w:rsidRPr="00BA6190">
        <w:rPr>
          <w:rFonts w:ascii="Times New Roman" w:hAnsi="Times New Roman" w:cs="Times New Roman"/>
          <w:b/>
          <w:bCs/>
          <w:sz w:val="24"/>
          <w:szCs w:val="24"/>
        </w:rPr>
        <w:t xml:space="preserve"> ПРИЛОЖЕНИЕ НА КОМПОНЕНТ II</w:t>
      </w:r>
    </w:p>
    <w:p w:rsidR="00BA6190" w:rsidRPr="00BA6190" w:rsidRDefault="00BA6190" w:rsidP="00BA6190">
      <w:pPr>
        <w:widowControl w:val="0"/>
        <w:autoSpaceDE w:val="0"/>
        <w:autoSpaceDN w:val="0"/>
        <w:adjustRightInd w:val="0"/>
        <w:snapToGrid w:val="0"/>
        <w:spacing w:after="120" w:line="240" w:lineRule="auto"/>
        <w:ind w:left="4"/>
        <w:jc w:val="both"/>
        <w:rPr>
          <w:rFonts w:ascii="Times New Roman" w:hAnsi="Times New Roman" w:cs="Times New Roman"/>
          <w:bCs/>
          <w:sz w:val="24"/>
          <w:szCs w:val="24"/>
        </w:rPr>
      </w:pPr>
      <w:r w:rsidRPr="00BA6190">
        <w:rPr>
          <w:rFonts w:ascii="Times New Roman" w:hAnsi="Times New Roman" w:cs="Times New Roman"/>
          <w:bCs/>
          <w:sz w:val="24"/>
          <w:szCs w:val="24"/>
        </w:rPr>
        <w:t xml:space="preserve">Съгласно описаните в т. 3.2.1 компоненти, следва да се има предвид, че Компонент II се прилага към всички ССО, допустими за получаване на БФП, които отговарят на условията в т. 3.2, но не изпълняват изискванията на Регламент (ЕС) № 1407/2013. </w:t>
      </w:r>
    </w:p>
    <w:p w:rsidR="00BA6190" w:rsidRPr="00BA6190" w:rsidRDefault="00BA6190" w:rsidP="00BA6190">
      <w:pPr>
        <w:widowControl w:val="0"/>
        <w:autoSpaceDE w:val="0"/>
        <w:autoSpaceDN w:val="0"/>
        <w:adjustRightInd w:val="0"/>
        <w:snapToGrid w:val="0"/>
        <w:spacing w:after="120" w:line="240" w:lineRule="auto"/>
        <w:jc w:val="both"/>
        <w:rPr>
          <w:rFonts w:ascii="Times New Roman" w:hAnsi="Times New Roman" w:cs="Times New Roman"/>
          <w:bCs/>
          <w:sz w:val="24"/>
          <w:szCs w:val="24"/>
        </w:rPr>
      </w:pPr>
      <w:r w:rsidRPr="00BA6190">
        <w:rPr>
          <w:rFonts w:ascii="Times New Roman" w:hAnsi="Times New Roman" w:cs="Times New Roman"/>
          <w:bCs/>
          <w:sz w:val="24"/>
          <w:szCs w:val="24"/>
        </w:rPr>
        <w:t>Компонент II се прилага п</w:t>
      </w:r>
      <w:r w:rsidRPr="00BA6190">
        <w:rPr>
          <w:rFonts w:ascii="Times New Roman" w:hAnsi="Times New Roman" w:cs="Times New Roman"/>
          <w:color w:val="000000" w:themeColor="text1"/>
          <w:sz w:val="24"/>
          <w:szCs w:val="24"/>
        </w:rPr>
        <w:t xml:space="preserve">ри наличие на ССО в сградата, в които се упражнява стопанска дейност, включително, но не само: отдаване под наем или извършване на дейност от търговци и/или лица със свободни професии, които са извън обхвата на правилата за минималната помощ съгласно </w:t>
      </w:r>
      <w:r w:rsidRPr="00BA6190">
        <w:rPr>
          <w:rFonts w:ascii="Times New Roman" w:hAnsi="Times New Roman" w:cs="Times New Roman"/>
          <w:bCs/>
          <w:sz w:val="24"/>
          <w:szCs w:val="24"/>
        </w:rPr>
        <w:t>Регламент (ЕС) № 1407/2013, както и тези, които са в обхвата на т. 4.4.2 от настоящите условия.</w:t>
      </w:r>
    </w:p>
    <w:p w:rsidR="00BA6190" w:rsidRPr="00BA6190" w:rsidRDefault="00BA6190" w:rsidP="00BA6190">
      <w:pPr>
        <w:widowControl w:val="0"/>
        <w:autoSpaceDE w:val="0"/>
        <w:autoSpaceDN w:val="0"/>
        <w:adjustRightInd w:val="0"/>
        <w:snapToGrid w:val="0"/>
        <w:spacing w:after="120" w:line="240" w:lineRule="auto"/>
        <w:jc w:val="both"/>
        <w:rPr>
          <w:rFonts w:ascii="Times New Roman" w:hAnsi="Times New Roman" w:cs="Times New Roman"/>
          <w:bCs/>
          <w:sz w:val="24"/>
          <w:szCs w:val="24"/>
        </w:rPr>
      </w:pPr>
      <w:r w:rsidRPr="00BA6190">
        <w:rPr>
          <w:rFonts w:ascii="Times New Roman" w:hAnsi="Times New Roman" w:cs="Times New Roman"/>
          <w:bCs/>
          <w:sz w:val="24"/>
          <w:szCs w:val="24"/>
        </w:rPr>
        <w:t xml:space="preserve">В тези случаи </w:t>
      </w:r>
      <w:r w:rsidRPr="00BA6190">
        <w:rPr>
          <w:rFonts w:ascii="Times New Roman" w:hAnsi="Times New Roman" w:cs="Times New Roman"/>
          <w:color w:val="000000" w:themeColor="text1"/>
          <w:sz w:val="24"/>
          <w:szCs w:val="24"/>
        </w:rPr>
        <w:t xml:space="preserve">ССО не е допустимо да получи безвъзмездна помощ за обновяване на сградата по ОПРР 2014-2020 и следва да осигури със собствени средства припадащия му се дял от разходите за обновяването на сградата, съобразно притежаваните от него </w:t>
      </w:r>
      <w:r w:rsidRPr="00BA6190">
        <w:rPr>
          <w:rFonts w:ascii="Times New Roman" w:hAnsi="Times New Roman" w:cs="Times New Roman"/>
          <w:color w:val="000000" w:themeColor="text1"/>
          <w:sz w:val="24"/>
          <w:szCs w:val="24"/>
        </w:rPr>
        <w:lastRenderedPageBreak/>
        <w:t xml:space="preserve">идеални части от общите части </w:t>
      </w:r>
      <w:r w:rsidRPr="00BA6190">
        <w:rPr>
          <w:rFonts w:ascii="Times New Roman" w:hAnsi="Times New Roman" w:cs="Times New Roman"/>
          <w:bCs/>
          <w:sz w:val="24"/>
          <w:szCs w:val="24"/>
        </w:rPr>
        <w:t xml:space="preserve">на сградата, заедно с разходите за дейностите, извършени за отделния СО, когато това е приложимо. </w:t>
      </w:r>
    </w:p>
    <w:p w:rsidR="00BA6190" w:rsidRPr="00BA6190" w:rsidRDefault="00BA6190" w:rsidP="00BA6190">
      <w:pPr>
        <w:widowControl w:val="0"/>
        <w:autoSpaceDE w:val="0"/>
        <w:autoSpaceDN w:val="0"/>
        <w:adjustRightInd w:val="0"/>
        <w:snapToGrid w:val="0"/>
        <w:spacing w:after="120" w:line="240" w:lineRule="auto"/>
        <w:jc w:val="both"/>
        <w:rPr>
          <w:rFonts w:ascii="Times New Roman" w:hAnsi="Times New Roman" w:cs="Times New Roman"/>
          <w:bCs/>
          <w:sz w:val="24"/>
          <w:szCs w:val="24"/>
        </w:rPr>
      </w:pPr>
      <w:r w:rsidRPr="00BA6190">
        <w:rPr>
          <w:rFonts w:ascii="Times New Roman" w:hAnsi="Times New Roman" w:cs="Times New Roman"/>
          <w:bCs/>
          <w:sz w:val="24"/>
          <w:szCs w:val="24"/>
        </w:rPr>
        <w:t xml:space="preserve">ССО следва да подпише декларация по образец, приложение към настоящите указания (Приложение 1.2). Същата се прилага към заявлението за интерес и финансова помощ и става приложение 2 към договора, който се сключва между общината и СС. </w:t>
      </w:r>
    </w:p>
    <w:p w:rsidR="00BA6190" w:rsidRPr="00BA6190" w:rsidRDefault="00BA6190" w:rsidP="00BA6190">
      <w:pPr>
        <w:widowControl w:val="0"/>
        <w:numPr>
          <w:ilvl w:val="1"/>
          <w:numId w:val="24"/>
        </w:numPr>
        <w:overflowPunct w:val="0"/>
        <w:autoSpaceDE w:val="0"/>
        <w:autoSpaceDN w:val="0"/>
        <w:adjustRightInd w:val="0"/>
        <w:snapToGrid w:val="0"/>
        <w:spacing w:after="120" w:line="240" w:lineRule="auto"/>
        <w:jc w:val="both"/>
        <w:rPr>
          <w:rFonts w:ascii="Times New Roman" w:hAnsi="Times New Roman" w:cs="Times New Roman"/>
          <w:b/>
          <w:sz w:val="24"/>
          <w:szCs w:val="24"/>
        </w:rPr>
      </w:pPr>
      <w:r w:rsidRPr="00BA6190">
        <w:rPr>
          <w:rFonts w:ascii="Times New Roman" w:hAnsi="Times New Roman" w:cs="Times New Roman"/>
          <w:b/>
          <w:sz w:val="24"/>
          <w:szCs w:val="24"/>
        </w:rPr>
        <w:t xml:space="preserve"> Допустими разходи </w:t>
      </w:r>
    </w:p>
    <w:p w:rsidR="00BA6190" w:rsidRPr="00BA6190" w:rsidRDefault="00BA6190" w:rsidP="00BA6190">
      <w:pPr>
        <w:widowControl w:val="0"/>
        <w:autoSpaceDE w:val="0"/>
        <w:autoSpaceDN w:val="0"/>
        <w:adjustRightInd w:val="0"/>
        <w:snapToGrid w:val="0"/>
        <w:spacing w:after="120" w:line="240" w:lineRule="auto"/>
        <w:jc w:val="both"/>
        <w:rPr>
          <w:rFonts w:ascii="Times New Roman" w:hAnsi="Times New Roman" w:cs="Times New Roman"/>
          <w:bCs/>
          <w:sz w:val="24"/>
          <w:szCs w:val="24"/>
        </w:rPr>
      </w:pPr>
      <w:r w:rsidRPr="00BA6190">
        <w:rPr>
          <w:rFonts w:ascii="Times New Roman" w:hAnsi="Times New Roman" w:cs="Times New Roman"/>
          <w:bCs/>
          <w:sz w:val="24"/>
          <w:szCs w:val="24"/>
        </w:rPr>
        <w:t xml:space="preserve">Общината, преди да подпише договора със СС, следва да изчисли обща индикативна стойност на ССО на база притежаван процент идеални части от общите в сградата за всяка извършена дейност по сградата (разходи за техническо обследване, обследване за енергийна ефективност, проектиране, оценка за съответствието, СМР, авторски надзор, строителен надзор и инвеститорски контрол, разходи, свързани с набавянето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 разходи, свързани с въвеждането на обекта в експлоатация). </w:t>
      </w:r>
    </w:p>
    <w:p w:rsidR="00BA6190" w:rsidRPr="00BA6190" w:rsidRDefault="00BA6190" w:rsidP="00BA6190">
      <w:pPr>
        <w:widowControl w:val="0"/>
        <w:autoSpaceDE w:val="0"/>
        <w:autoSpaceDN w:val="0"/>
        <w:adjustRightInd w:val="0"/>
        <w:snapToGrid w:val="0"/>
        <w:spacing w:after="120" w:line="240" w:lineRule="auto"/>
        <w:jc w:val="both"/>
        <w:rPr>
          <w:rFonts w:ascii="Times New Roman" w:hAnsi="Times New Roman" w:cs="Times New Roman"/>
          <w:bCs/>
          <w:sz w:val="24"/>
          <w:szCs w:val="24"/>
        </w:rPr>
      </w:pPr>
      <w:r w:rsidRPr="00BA6190">
        <w:rPr>
          <w:rFonts w:ascii="Times New Roman" w:hAnsi="Times New Roman" w:cs="Times New Roman"/>
          <w:bCs/>
          <w:sz w:val="24"/>
          <w:szCs w:val="24"/>
        </w:rPr>
        <w:t>Разходите за подмяна на дограма се изчисляват отделно за всеки самостоятелен обект и са в размер, съответстващ на реално извършените разходи.</w:t>
      </w:r>
    </w:p>
    <w:p w:rsidR="00BA6190" w:rsidRPr="00BA6190" w:rsidRDefault="00BA6190" w:rsidP="00BA6190">
      <w:pPr>
        <w:snapToGrid w:val="0"/>
        <w:spacing w:after="120" w:line="240" w:lineRule="auto"/>
        <w:ind w:left="6"/>
        <w:jc w:val="both"/>
        <w:rPr>
          <w:rFonts w:ascii="Times New Roman" w:hAnsi="Times New Roman" w:cs="Times New Roman"/>
          <w:sz w:val="24"/>
          <w:szCs w:val="24"/>
        </w:rPr>
      </w:pPr>
      <w:r w:rsidRPr="00BA6190">
        <w:rPr>
          <w:rFonts w:ascii="Times New Roman" w:hAnsi="Times New Roman" w:cs="Times New Roman"/>
          <w:color w:val="000000" w:themeColor="text1"/>
          <w:sz w:val="24"/>
          <w:szCs w:val="24"/>
        </w:rPr>
        <w:t xml:space="preserve">При изчисленията на разходите за собственика следва да се спазва редът, описан в </w:t>
      </w:r>
      <w:r w:rsidRPr="00BA6190">
        <w:rPr>
          <w:rFonts w:ascii="Times New Roman" w:hAnsi="Times New Roman" w:cs="Times New Roman"/>
          <w:sz w:val="24"/>
          <w:szCs w:val="24"/>
        </w:rPr>
        <w:t xml:space="preserve">приложение </w:t>
      </w:r>
      <w:r w:rsidRPr="00BA6190">
        <w:rPr>
          <w:rFonts w:ascii="Times New Roman" w:hAnsi="Times New Roman" w:cs="Times New Roman"/>
          <w:bCs/>
          <w:sz w:val="24"/>
          <w:szCs w:val="24"/>
        </w:rPr>
        <w:t xml:space="preserve">№ </w:t>
      </w:r>
      <w:r w:rsidRPr="00BA6190">
        <w:rPr>
          <w:rFonts w:ascii="Times New Roman" w:hAnsi="Times New Roman" w:cs="Times New Roman"/>
          <w:sz w:val="24"/>
          <w:szCs w:val="24"/>
        </w:rPr>
        <w:t>1.1 към настоящите условия, приложим за Компонент II.</w:t>
      </w:r>
    </w:p>
    <w:p w:rsidR="00BA6190" w:rsidRPr="00BA6190" w:rsidRDefault="00BA6190" w:rsidP="00BA6190">
      <w:pPr>
        <w:snapToGrid w:val="0"/>
        <w:spacing w:after="120" w:line="240" w:lineRule="auto"/>
        <w:ind w:left="6"/>
        <w:jc w:val="both"/>
        <w:rPr>
          <w:rFonts w:ascii="Times New Roman" w:hAnsi="Times New Roman" w:cs="Times New Roman"/>
          <w:color w:val="000000" w:themeColor="text1"/>
          <w:sz w:val="24"/>
          <w:szCs w:val="24"/>
        </w:rPr>
      </w:pPr>
      <w:r w:rsidRPr="00BA6190">
        <w:rPr>
          <w:rFonts w:ascii="Times New Roman" w:hAnsi="Times New Roman" w:cs="Times New Roman"/>
          <w:sz w:val="24"/>
          <w:szCs w:val="24"/>
        </w:rPr>
        <w:t xml:space="preserve">В приложение </w:t>
      </w:r>
      <w:r w:rsidRPr="00BA6190">
        <w:rPr>
          <w:rFonts w:ascii="Times New Roman" w:hAnsi="Times New Roman" w:cs="Times New Roman"/>
          <w:bCs/>
          <w:sz w:val="24"/>
          <w:szCs w:val="24"/>
        </w:rPr>
        <w:t xml:space="preserve">№ </w:t>
      </w:r>
      <w:r w:rsidRPr="00BA6190">
        <w:rPr>
          <w:rFonts w:ascii="Times New Roman" w:hAnsi="Times New Roman" w:cs="Times New Roman"/>
          <w:sz w:val="24"/>
          <w:szCs w:val="24"/>
        </w:rPr>
        <w:t>1.1 са описани и всички разходи, които ССО може да покрие, както и индикативен график, съгласно който дължимите от него реално извършени разходи могат да бъдат погасени към общината.</w:t>
      </w:r>
    </w:p>
    <w:p w:rsidR="00BA6190" w:rsidRPr="00BA6190" w:rsidRDefault="00BA6190" w:rsidP="00BA6190">
      <w:pPr>
        <w:widowControl w:val="0"/>
        <w:autoSpaceDE w:val="0"/>
        <w:autoSpaceDN w:val="0"/>
        <w:adjustRightInd w:val="0"/>
        <w:snapToGrid w:val="0"/>
        <w:spacing w:after="120" w:line="240" w:lineRule="auto"/>
        <w:jc w:val="both"/>
        <w:rPr>
          <w:rFonts w:ascii="Times New Roman" w:hAnsi="Times New Roman" w:cs="Times New Roman"/>
          <w:bCs/>
          <w:sz w:val="24"/>
          <w:szCs w:val="24"/>
        </w:rPr>
      </w:pPr>
    </w:p>
    <w:p w:rsidR="00BA6190" w:rsidRPr="00BA6190" w:rsidRDefault="00BA6190" w:rsidP="00BA6190">
      <w:pPr>
        <w:widowControl w:val="0"/>
        <w:numPr>
          <w:ilvl w:val="0"/>
          <w:numId w:val="24"/>
        </w:numPr>
        <w:autoSpaceDE w:val="0"/>
        <w:autoSpaceDN w:val="0"/>
        <w:adjustRightInd w:val="0"/>
        <w:snapToGrid w:val="0"/>
        <w:spacing w:after="120" w:line="240" w:lineRule="auto"/>
        <w:rPr>
          <w:rFonts w:ascii="Times New Roman" w:hAnsi="Times New Roman" w:cs="Times New Roman"/>
          <w:b/>
          <w:bCs/>
          <w:sz w:val="24"/>
          <w:szCs w:val="24"/>
        </w:rPr>
      </w:pPr>
      <w:r w:rsidRPr="00BA6190">
        <w:rPr>
          <w:rFonts w:ascii="Times New Roman" w:hAnsi="Times New Roman" w:cs="Times New Roman"/>
          <w:b/>
          <w:bCs/>
          <w:sz w:val="24"/>
          <w:szCs w:val="24"/>
        </w:rPr>
        <w:t xml:space="preserve">УВЕДОМЯВАНЕ И КОНТРОЛ </w:t>
      </w:r>
    </w:p>
    <w:p w:rsidR="00BA6190" w:rsidRPr="00BA6190" w:rsidRDefault="00BA6190" w:rsidP="00BA6190">
      <w:pPr>
        <w:snapToGrid w:val="0"/>
        <w:spacing w:after="120" w:line="240" w:lineRule="auto"/>
        <w:jc w:val="both"/>
        <w:rPr>
          <w:rFonts w:ascii="Times New Roman" w:hAnsi="Times New Roman" w:cs="Times New Roman"/>
          <w:bCs/>
          <w:sz w:val="24"/>
          <w:szCs w:val="24"/>
        </w:rPr>
      </w:pPr>
      <w:r w:rsidRPr="00BA6190">
        <w:rPr>
          <w:rFonts w:ascii="Times New Roman" w:hAnsi="Times New Roman" w:cs="Times New Roman"/>
          <w:bCs/>
          <w:sz w:val="24"/>
          <w:szCs w:val="24"/>
        </w:rPr>
        <w:t xml:space="preserve">Всяка община, в качеството си на администратор на минимална помощ, следва да спазва установените в Закона за държавните помощи (ЗДП) и Правилника за неговото прилагане (ППЗДП) изисквания, отнасящи се до минималните помощи. </w:t>
      </w:r>
    </w:p>
    <w:p w:rsidR="00BA6190" w:rsidRPr="00BA6190" w:rsidRDefault="00BA6190" w:rsidP="00BA6190">
      <w:pPr>
        <w:widowControl w:val="0"/>
        <w:autoSpaceDE w:val="0"/>
        <w:autoSpaceDN w:val="0"/>
        <w:adjustRightInd w:val="0"/>
        <w:snapToGrid w:val="0"/>
        <w:spacing w:after="120" w:line="240" w:lineRule="auto"/>
        <w:ind w:left="4"/>
        <w:jc w:val="both"/>
        <w:rPr>
          <w:rFonts w:ascii="Times New Roman" w:hAnsi="Times New Roman" w:cs="Times New Roman"/>
          <w:bCs/>
          <w:sz w:val="24"/>
          <w:szCs w:val="24"/>
        </w:rPr>
      </w:pPr>
      <w:r w:rsidRPr="00BA6190">
        <w:rPr>
          <w:rFonts w:ascii="Times New Roman" w:hAnsi="Times New Roman" w:cs="Times New Roman"/>
          <w:bCs/>
          <w:sz w:val="24"/>
          <w:szCs w:val="24"/>
        </w:rPr>
        <w:t xml:space="preserve">При предоставянето на минималната помощ по Компонент I общината следва да провери данните в предоставените от ССО декларации за минимални и държавни помощи. За двойна проверка на декларираната информация, общината може да използва публичния модул за справки към информационна система „Регистър на минималните помощи“, достъпен на интернет страницата: </w:t>
      </w:r>
      <w:hyperlink r:id="rId9" w:history="1">
        <w:r w:rsidRPr="00BA6190">
          <w:rPr>
            <w:rFonts w:ascii="Times New Roman" w:hAnsi="Times New Roman" w:cs="Times New Roman"/>
            <w:bCs/>
            <w:sz w:val="24"/>
            <w:szCs w:val="24"/>
          </w:rPr>
          <w:t>www.minimis.minfin.bg</w:t>
        </w:r>
      </w:hyperlink>
    </w:p>
    <w:p w:rsidR="00BA6190" w:rsidRPr="00BA6190" w:rsidRDefault="00BA6190" w:rsidP="00BA6190">
      <w:pPr>
        <w:snapToGrid w:val="0"/>
        <w:spacing w:after="120" w:line="240" w:lineRule="auto"/>
        <w:jc w:val="both"/>
        <w:rPr>
          <w:rFonts w:ascii="Times New Roman" w:eastAsia="Times New Roman" w:hAnsi="Times New Roman" w:cs="Times New Roman"/>
          <w:color w:val="000000" w:themeColor="text1"/>
          <w:sz w:val="24"/>
          <w:szCs w:val="24"/>
          <w:lang w:eastAsia="bg-BG"/>
        </w:rPr>
      </w:pPr>
      <w:r w:rsidRPr="00BA6190">
        <w:rPr>
          <w:rFonts w:ascii="Times New Roman" w:eastAsia="Times New Roman" w:hAnsi="Times New Roman" w:cs="Times New Roman"/>
          <w:color w:val="000000" w:themeColor="text1"/>
          <w:sz w:val="24"/>
          <w:szCs w:val="24"/>
          <w:lang w:eastAsia="bg-BG"/>
        </w:rPr>
        <w:t xml:space="preserve">Съгласно чл. 11, ал. 4 от ЗДП, при всяко предоставяне на минимална помощ общината следва в 3-дневен срок да уведоми Министерство на финансите, във формата по приложение № 5 от ППЗДП. Освен това, съгласно чл. 8, ал .2 от ППЗДП, общината следва да въведе в 3-дневен срок данните за съответния получател и размера на получената от него минимална помощ в информационна система „Регистър на минималните помощи“. Достъпът до системата се осъществява съгласно утвърдена от министъра на финансите процедура за достъп, налична в секция „Указания“ в самата система. Всяка община следва да осигури достъп на нейни служители, ангажирани с </w:t>
      </w:r>
      <w:r w:rsidRPr="00BA6190">
        <w:rPr>
          <w:rFonts w:ascii="Times New Roman" w:eastAsia="Times New Roman" w:hAnsi="Times New Roman" w:cs="Times New Roman"/>
          <w:color w:val="000000" w:themeColor="text1"/>
          <w:sz w:val="24"/>
          <w:szCs w:val="24"/>
          <w:lang w:eastAsia="bg-BG"/>
        </w:rPr>
        <w:lastRenderedPageBreak/>
        <w:t xml:space="preserve">изпълнението на дейностите за енергийна ефективност и задълженията във връзка с режима на минималните помощи до информационната система.    </w:t>
      </w:r>
    </w:p>
    <w:p w:rsidR="00BA6190" w:rsidRPr="00BA6190" w:rsidRDefault="00BA6190" w:rsidP="00BA6190">
      <w:pPr>
        <w:snapToGrid w:val="0"/>
        <w:spacing w:after="120" w:line="240" w:lineRule="auto"/>
        <w:jc w:val="both"/>
        <w:rPr>
          <w:rFonts w:ascii="Times New Roman" w:eastAsia="Times New Roman" w:hAnsi="Times New Roman" w:cs="Times New Roman"/>
          <w:color w:val="000000" w:themeColor="text1"/>
          <w:sz w:val="24"/>
          <w:szCs w:val="24"/>
          <w:lang w:eastAsia="bg-BG"/>
        </w:rPr>
      </w:pPr>
      <w:r w:rsidRPr="00BA6190">
        <w:rPr>
          <w:rFonts w:ascii="Times New Roman" w:eastAsia="Times New Roman" w:hAnsi="Times New Roman" w:cs="Times New Roman"/>
          <w:color w:val="000000" w:themeColor="text1"/>
          <w:sz w:val="24"/>
          <w:szCs w:val="24"/>
          <w:lang w:eastAsia="bg-BG"/>
        </w:rPr>
        <w:t xml:space="preserve">Съответната община следва да води и поддържа собствен Регистър на минималните помощи, като отговаря за достоверността на данните в него и при поискване – да осигурява достъп на представител на министъра на финансите до този Регистър. </w:t>
      </w:r>
    </w:p>
    <w:p w:rsidR="00BA6190" w:rsidRPr="00BA6190" w:rsidRDefault="00BA6190" w:rsidP="00BA6190">
      <w:pPr>
        <w:snapToGrid w:val="0"/>
        <w:spacing w:after="120" w:line="240" w:lineRule="auto"/>
        <w:jc w:val="both"/>
        <w:rPr>
          <w:rFonts w:ascii="Times New Roman" w:eastAsia="Times New Roman" w:hAnsi="Times New Roman" w:cs="Times New Roman"/>
          <w:color w:val="000000" w:themeColor="text1"/>
          <w:sz w:val="24"/>
          <w:szCs w:val="24"/>
          <w:lang w:eastAsia="bg-BG"/>
        </w:rPr>
      </w:pPr>
      <w:r w:rsidRPr="00BA6190">
        <w:rPr>
          <w:rFonts w:ascii="Times New Roman" w:eastAsia="Times New Roman" w:hAnsi="Times New Roman" w:cs="Times New Roman"/>
          <w:color w:val="000000" w:themeColor="text1"/>
          <w:sz w:val="24"/>
          <w:szCs w:val="24"/>
          <w:lang w:eastAsia="bg-BG"/>
        </w:rPr>
        <w:t>Информацията за предоставените минимални помощи по схемата следва да бъде публикувана на Интернет страницата на съответната община с оглед изпълнение на задълженията по чл. 11 от ЗДП.</w:t>
      </w:r>
    </w:p>
    <w:p w:rsidR="00BA6190" w:rsidRPr="00BA6190" w:rsidRDefault="00BA6190" w:rsidP="00BA6190">
      <w:pPr>
        <w:snapToGrid w:val="0"/>
        <w:spacing w:after="120" w:line="240" w:lineRule="auto"/>
        <w:jc w:val="both"/>
        <w:rPr>
          <w:rFonts w:ascii="Times New Roman" w:hAnsi="Times New Roman" w:cs="Times New Roman"/>
          <w:sz w:val="24"/>
          <w:szCs w:val="24"/>
        </w:rPr>
      </w:pPr>
      <w:r w:rsidRPr="00BA6190">
        <w:rPr>
          <w:rFonts w:ascii="Times New Roman" w:hAnsi="Times New Roman" w:cs="Times New Roman"/>
          <w:sz w:val="24"/>
          <w:szCs w:val="24"/>
        </w:rPr>
        <w:t xml:space="preserve">Съгласно изискванията на </w:t>
      </w:r>
      <w:r w:rsidRPr="00BA6190">
        <w:rPr>
          <w:rFonts w:ascii="Times New Roman" w:hAnsi="Times New Roman" w:cs="Times New Roman"/>
          <w:bCs/>
          <w:sz w:val="24"/>
          <w:szCs w:val="24"/>
        </w:rPr>
        <w:t>Регламент (ЕС) № 1407/2013</w:t>
      </w:r>
      <w:r w:rsidRPr="00BA6190">
        <w:rPr>
          <w:rFonts w:ascii="Times New Roman" w:hAnsi="Times New Roman" w:cs="Times New Roman"/>
          <w:sz w:val="24"/>
          <w:szCs w:val="24"/>
        </w:rPr>
        <w:t>, съответната общината се задължава да съхранява документацията относно индивидуалните помощи de minimis за период от 10 бюджетни години, считано от датата на тяхното предоставяне. Документацията относно схемите за помощ de minimis се съхранява за период от 10 бюджетни години от датата, на която е предоставена последната индивидуална помощ по такава схема.</w:t>
      </w:r>
    </w:p>
    <w:p w:rsidR="00BA6190" w:rsidRPr="00BA6190" w:rsidRDefault="00BA6190" w:rsidP="00BA6190">
      <w:pPr>
        <w:rPr>
          <w:rFonts w:ascii="Times New Roman" w:hAnsi="Times New Roman" w:cs="Times New Roman"/>
          <w:sz w:val="24"/>
          <w:szCs w:val="24"/>
        </w:rPr>
      </w:pPr>
    </w:p>
    <w:p w:rsidR="00E97956" w:rsidRPr="008731EB" w:rsidRDefault="00E97956" w:rsidP="008731EB">
      <w:bookmarkStart w:id="3" w:name="_GoBack"/>
      <w:bookmarkEnd w:id="3"/>
    </w:p>
    <w:sectPr w:rsidR="00E97956" w:rsidRPr="008731E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F9C" w:rsidRDefault="00F34F9C" w:rsidP="00856C69">
      <w:pPr>
        <w:spacing w:after="0" w:line="240" w:lineRule="auto"/>
      </w:pPr>
      <w:r>
        <w:separator/>
      </w:r>
    </w:p>
  </w:endnote>
  <w:endnote w:type="continuationSeparator" w:id="0">
    <w:p w:rsidR="00F34F9C" w:rsidRDefault="00F34F9C" w:rsidP="0085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nivers">
    <w:altName w:val="Arial"/>
    <w:panose1 w:val="020B0603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299460558"/>
      <w:docPartObj>
        <w:docPartGallery w:val="Page Numbers (Bottom of Page)"/>
        <w:docPartUnique/>
      </w:docPartObj>
    </w:sdtPr>
    <w:sdtEndPr>
      <w:rPr>
        <w:noProof/>
      </w:rPr>
    </w:sdtEndPr>
    <w:sdtContent>
      <w:p w:rsidR="000D1E53" w:rsidRDefault="000D1E53" w:rsidP="000E6A10">
        <w:pPr>
          <w:pBdr>
            <w:top w:val="single" w:sz="4" w:space="0" w:color="auto"/>
          </w:pBdr>
          <w:spacing w:after="0"/>
          <w:jc w:val="center"/>
          <w:rPr>
            <w:rFonts w:ascii="Times New Roman" w:hAnsi="Times New Roman" w:cs="Times New Roman"/>
            <w:b/>
            <w:sz w:val="18"/>
            <w:szCs w:val="18"/>
          </w:rPr>
        </w:pPr>
      </w:p>
      <w:p w:rsidR="00BF57DE" w:rsidRPr="00BF57DE" w:rsidRDefault="00B63556" w:rsidP="000E6A10">
        <w:pPr>
          <w:pBdr>
            <w:top w:val="single" w:sz="4" w:space="0" w:color="auto"/>
          </w:pBdr>
          <w:spacing w:after="0"/>
          <w:jc w:val="center"/>
          <w:rPr>
            <w:rFonts w:ascii="Times New Roman" w:hAnsi="Times New Roman" w:cs="Times New Roman"/>
            <w:b/>
            <w:sz w:val="18"/>
            <w:szCs w:val="18"/>
          </w:rPr>
        </w:pPr>
        <w:r w:rsidRPr="00B63556">
          <w:rPr>
            <w:rFonts w:ascii="Times New Roman" w:hAnsi="Times New Roman" w:cs="Times New Roman"/>
            <w:b/>
            <w:sz w:val="18"/>
            <w:szCs w:val="18"/>
          </w:rPr>
          <w:t>Приоритетна ос 2 „Подкрепа за енергийна ефективност в опорни центрове в периферни</w:t>
        </w:r>
        <w:r>
          <w:rPr>
            <w:rFonts w:ascii="Times New Roman" w:hAnsi="Times New Roman" w:cs="Times New Roman"/>
            <w:b/>
            <w:sz w:val="18"/>
            <w:szCs w:val="18"/>
          </w:rPr>
          <w:t xml:space="preserve">те райони“ </w:t>
        </w:r>
        <w:r w:rsidR="00BF57DE" w:rsidRPr="00BF57DE">
          <w:rPr>
            <w:rFonts w:ascii="Times New Roman" w:hAnsi="Times New Roman" w:cs="Times New Roman"/>
            <w:b/>
            <w:sz w:val="18"/>
            <w:szCs w:val="18"/>
          </w:rPr>
          <w:t>на ОП</w:t>
        </w:r>
        <w:r w:rsidR="00354446">
          <w:rPr>
            <w:rFonts w:ascii="Times New Roman" w:hAnsi="Times New Roman" w:cs="Times New Roman"/>
            <w:b/>
            <w:sz w:val="18"/>
            <w:szCs w:val="18"/>
          </w:rPr>
          <w:t xml:space="preserve"> </w:t>
        </w:r>
        <w:r w:rsidR="00BF57DE" w:rsidRPr="00BF57DE">
          <w:rPr>
            <w:rFonts w:ascii="Times New Roman" w:hAnsi="Times New Roman" w:cs="Times New Roman"/>
            <w:b/>
            <w:sz w:val="18"/>
            <w:szCs w:val="18"/>
          </w:rPr>
          <w:t>„Региони в растеж“ 2014-2020</w:t>
        </w:r>
      </w:p>
      <w:p w:rsidR="0084454E" w:rsidRPr="00BF57DE" w:rsidRDefault="0084454E" w:rsidP="000E6A10">
        <w:pPr>
          <w:pBdr>
            <w:top w:val="single" w:sz="4" w:space="0" w:color="auto"/>
          </w:pBdr>
          <w:jc w:val="center"/>
          <w:rPr>
            <w:rFonts w:ascii="Times New Roman" w:hAnsi="Times New Roman" w:cs="Times New Roman"/>
            <w:b/>
            <w:sz w:val="18"/>
            <w:szCs w:val="18"/>
          </w:rPr>
        </w:pPr>
        <w:r w:rsidRPr="00BF57DE">
          <w:rPr>
            <w:rFonts w:ascii="Times New Roman" w:hAnsi="Times New Roman" w:cs="Times New Roman"/>
            <w:b/>
            <w:sz w:val="18"/>
            <w:szCs w:val="18"/>
          </w:rPr>
          <w:fldChar w:fldCharType="begin"/>
        </w:r>
        <w:r w:rsidRPr="00BF57DE">
          <w:rPr>
            <w:rFonts w:ascii="Times New Roman" w:hAnsi="Times New Roman" w:cs="Times New Roman"/>
            <w:b/>
            <w:sz w:val="18"/>
            <w:szCs w:val="18"/>
          </w:rPr>
          <w:instrText xml:space="preserve"> PAGE   \* MERGEFORMAT </w:instrText>
        </w:r>
        <w:r w:rsidRPr="00BF57DE">
          <w:rPr>
            <w:rFonts w:ascii="Times New Roman" w:hAnsi="Times New Roman" w:cs="Times New Roman"/>
            <w:b/>
            <w:sz w:val="18"/>
            <w:szCs w:val="18"/>
          </w:rPr>
          <w:fldChar w:fldCharType="separate"/>
        </w:r>
        <w:r w:rsidR="00BA6190" w:rsidRPr="00BA6190">
          <w:rPr>
            <w:b/>
            <w:noProof/>
            <w:sz w:val="18"/>
            <w:szCs w:val="18"/>
          </w:rPr>
          <w:t>11</w:t>
        </w:r>
        <w:r w:rsidRPr="00BF57DE">
          <w:rPr>
            <w:rFonts w:ascii="Times New Roman" w:hAnsi="Times New Roman" w:cs="Times New Roman"/>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F9C" w:rsidRDefault="00F34F9C" w:rsidP="00856C69">
      <w:pPr>
        <w:spacing w:after="0" w:line="240" w:lineRule="auto"/>
      </w:pPr>
      <w:r>
        <w:separator/>
      </w:r>
    </w:p>
  </w:footnote>
  <w:footnote w:type="continuationSeparator" w:id="0">
    <w:p w:rsidR="00F34F9C" w:rsidRDefault="00F34F9C" w:rsidP="00856C69">
      <w:pPr>
        <w:spacing w:after="0" w:line="240" w:lineRule="auto"/>
      </w:pPr>
      <w:r>
        <w:continuationSeparator/>
      </w:r>
    </w:p>
  </w:footnote>
  <w:footnote w:id="1">
    <w:p w:rsidR="00BA6190" w:rsidRPr="0078489C" w:rsidRDefault="00BA6190" w:rsidP="00BA6190">
      <w:pPr>
        <w:pStyle w:val="af8"/>
        <w:tabs>
          <w:tab w:val="left" w:pos="142"/>
        </w:tabs>
        <w:rPr>
          <w:lang w:val="bg-BG"/>
        </w:rPr>
      </w:pPr>
      <w:r w:rsidRPr="006F4FCA">
        <w:rPr>
          <w:rStyle w:val="afa"/>
          <w:rFonts w:ascii="Times New Roman" w:hAnsi="Times New Roman"/>
          <w:sz w:val="18"/>
          <w:szCs w:val="18"/>
        </w:rPr>
        <w:footnoteRef/>
      </w:r>
      <w:r w:rsidRPr="006F4FCA">
        <w:rPr>
          <w:rFonts w:ascii="Times New Roman" w:hAnsi="Times New Roman"/>
          <w:sz w:val="18"/>
          <w:szCs w:val="18"/>
        </w:rPr>
        <w:t xml:space="preserve"> Case C-41/90, Klaus Höfner and Fritz Elser v. Macrotron GmbH; Case C-55/96, Job Centre coop. arl., 1997</w:t>
      </w:r>
      <w:r>
        <w:rPr>
          <w:rFonts w:ascii="Times New Roman" w:hAnsi="Times New Roman"/>
          <w:sz w:val="18"/>
          <w:szCs w:val="18"/>
          <w:lang w:val="bg-BG"/>
        </w:rPr>
        <w:t>.</w:t>
      </w:r>
    </w:p>
  </w:footnote>
  <w:footnote w:id="2">
    <w:p w:rsidR="00BA6190" w:rsidRPr="00361273" w:rsidRDefault="00BA6190" w:rsidP="00BA6190">
      <w:pPr>
        <w:pStyle w:val="af8"/>
        <w:spacing w:after="0" w:line="240" w:lineRule="auto"/>
        <w:ind w:hanging="142"/>
        <w:jc w:val="both"/>
        <w:rPr>
          <w:rFonts w:ascii="Times New Roman" w:hAnsi="Times New Roman"/>
          <w:lang w:val="bg-BG"/>
        </w:rPr>
      </w:pPr>
      <w:r w:rsidRPr="00361273">
        <w:rPr>
          <w:rStyle w:val="afa"/>
          <w:rFonts w:ascii="Times New Roman" w:hAnsi="Times New Roman"/>
        </w:rPr>
        <w:footnoteRef/>
      </w:r>
      <w:r w:rsidRPr="0078489C">
        <w:rPr>
          <w:rFonts w:ascii="Times New Roman" w:hAnsi="Times New Roman"/>
          <w:lang w:val="bg-BG"/>
        </w:rPr>
        <w:t xml:space="preserve"> Регламент (ЕО) № 104/2000 на Съвета от 17 декември 1999 година</w:t>
      </w:r>
      <w:r w:rsidRPr="00361273">
        <w:rPr>
          <w:rFonts w:ascii="Times New Roman" w:hAnsi="Times New Roman"/>
          <w:lang w:val="bg-BG"/>
        </w:rPr>
        <w:t xml:space="preserve"> </w:t>
      </w:r>
      <w:r w:rsidRPr="0078489C">
        <w:rPr>
          <w:rFonts w:ascii="Times New Roman" w:hAnsi="Times New Roman"/>
          <w:lang w:val="bg-BG"/>
        </w:rPr>
        <w:t>относно общата организация на пазарите на рибни продукти и</w:t>
      </w:r>
      <w:r w:rsidRPr="00361273">
        <w:rPr>
          <w:rFonts w:ascii="Times New Roman" w:hAnsi="Times New Roman"/>
          <w:lang w:val="bg-BG"/>
        </w:rPr>
        <w:t xml:space="preserve"> </w:t>
      </w:r>
      <w:r w:rsidRPr="0078489C">
        <w:rPr>
          <w:rFonts w:ascii="Times New Roman" w:hAnsi="Times New Roman"/>
          <w:lang w:val="bg-BG"/>
        </w:rPr>
        <w:t xml:space="preserve">продукти от аквакултури (ОВ </w:t>
      </w:r>
      <w:r w:rsidRPr="00361273">
        <w:rPr>
          <w:rFonts w:ascii="Times New Roman" w:hAnsi="Times New Roman"/>
        </w:rPr>
        <w:t>L</w:t>
      </w:r>
      <w:r w:rsidRPr="0078489C">
        <w:rPr>
          <w:rFonts w:ascii="Times New Roman" w:hAnsi="Times New Roman"/>
          <w:lang w:val="bg-BG"/>
        </w:rPr>
        <w:t xml:space="preserve"> 17, 21.1.2000 г., стр. 22).</w:t>
      </w:r>
    </w:p>
  </w:footnote>
  <w:footnote w:id="3">
    <w:p w:rsidR="00BA6190" w:rsidRDefault="00BA6190" w:rsidP="00BA6190">
      <w:pPr>
        <w:pStyle w:val="Footnote0"/>
        <w:shd w:val="clear" w:color="auto" w:fill="auto"/>
        <w:ind w:firstLine="0"/>
        <w:jc w:val="left"/>
      </w:pPr>
      <w:r>
        <w:rPr>
          <w:vertAlign w:val="superscript"/>
        </w:rPr>
        <w:footnoteRef/>
      </w:r>
      <w:r>
        <w:t xml:space="preserve"> Поради което са извън обхвата на режима за минималните помощи</w:t>
      </w:r>
    </w:p>
  </w:footnote>
  <w:footnote w:id="4">
    <w:p w:rsidR="00BA6190" w:rsidRDefault="00BA6190" w:rsidP="00BA6190">
      <w:pPr>
        <w:pStyle w:val="Footnote0"/>
        <w:numPr>
          <w:ilvl w:val="0"/>
          <w:numId w:val="27"/>
        </w:numPr>
        <w:shd w:val="clear" w:color="auto" w:fill="auto"/>
        <w:tabs>
          <w:tab w:val="left" w:pos="115"/>
        </w:tabs>
        <w:ind w:firstLine="0"/>
      </w:pPr>
      <w:r>
        <w:t>Т.е. датата на попълване на Декларацията за минимални и държавни помощи</w:t>
      </w:r>
    </w:p>
  </w:footnote>
  <w:footnote w:id="5">
    <w:p w:rsidR="00BA6190" w:rsidRDefault="00BA6190" w:rsidP="00BA6190">
      <w:pPr>
        <w:pStyle w:val="Footnote0"/>
        <w:numPr>
          <w:ilvl w:val="0"/>
          <w:numId w:val="28"/>
        </w:numPr>
        <w:shd w:val="clear" w:color="auto" w:fill="auto"/>
        <w:tabs>
          <w:tab w:val="left" w:pos="115"/>
        </w:tabs>
        <w:ind w:left="200" w:hanging="200"/>
        <w:jc w:val="left"/>
      </w:pPr>
      <w:r>
        <w:t>За целите на Регламент (ЕС) № 1407/2013 от значение са текущата и предходните две данъчни години, респективно получените минимални помощи през тези 3 последователни години (съгласно чл. 3, т. 2 от Регламента). В България</w:t>
      </w:r>
    </w:p>
  </w:footnote>
  <w:footnote w:id="6">
    <w:p w:rsidR="00BA6190" w:rsidRPr="00673C82" w:rsidRDefault="00BA6190" w:rsidP="00BA6190">
      <w:pPr>
        <w:pStyle w:val="af8"/>
        <w:ind w:hanging="284"/>
        <w:jc w:val="both"/>
        <w:rPr>
          <w:rFonts w:ascii="Times New Roman" w:hAnsi="Times New Roman"/>
          <w:lang w:val="bg-BG"/>
        </w:rPr>
      </w:pPr>
      <w:r w:rsidRPr="00673C82">
        <w:rPr>
          <w:rStyle w:val="afa"/>
          <w:rFonts w:ascii="Times New Roman" w:hAnsi="Times New Roman"/>
        </w:rPr>
        <w:footnoteRef/>
      </w:r>
      <w:r w:rsidRPr="00FF1FAB">
        <w:rPr>
          <w:rFonts w:ascii="Times New Roman" w:hAnsi="Times New Roman"/>
          <w:lang w:val="bg-BG"/>
        </w:rPr>
        <w:t xml:space="preserve"> </w:t>
      </w:r>
      <w:r>
        <w:rPr>
          <w:rFonts w:ascii="Times New Roman" w:hAnsi="Times New Roman"/>
          <w:lang w:val="bg-BG"/>
        </w:rPr>
        <w:tab/>
      </w:r>
      <w:r w:rsidRPr="00FF1FAB">
        <w:rPr>
          <w:rFonts w:ascii="Times New Roman" w:hAnsi="Times New Roman"/>
          <w:lang w:val="bg-BG"/>
        </w:rPr>
        <w:t>Регламент (ЕС) № 360/2012 на Комисията от 25 април 2012 година</w:t>
      </w:r>
      <w:r w:rsidRPr="00673C82">
        <w:rPr>
          <w:rFonts w:ascii="Times New Roman" w:hAnsi="Times New Roman"/>
          <w:lang w:val="bg-BG"/>
        </w:rPr>
        <w:t xml:space="preserve"> </w:t>
      </w:r>
      <w:r w:rsidRPr="00FF1FAB">
        <w:rPr>
          <w:rFonts w:ascii="Times New Roman" w:hAnsi="Times New Roman"/>
          <w:lang w:val="bg-BG"/>
        </w:rPr>
        <w:t>относно прилагането на членове 107 и 108 от Договора за функционирането на Европейския съюз към минималната помощ (</w:t>
      </w:r>
      <w:r w:rsidRPr="00673C82">
        <w:rPr>
          <w:rFonts w:ascii="Times New Roman" w:hAnsi="Times New Roman"/>
        </w:rPr>
        <w:t>de</w:t>
      </w:r>
      <w:r w:rsidRPr="00FF1FAB">
        <w:rPr>
          <w:rFonts w:ascii="Times New Roman" w:hAnsi="Times New Roman"/>
          <w:lang w:val="bg-BG"/>
        </w:rPr>
        <w:t xml:space="preserve"> </w:t>
      </w:r>
      <w:r w:rsidRPr="00673C82">
        <w:rPr>
          <w:rFonts w:ascii="Times New Roman" w:hAnsi="Times New Roman"/>
        </w:rPr>
        <w:t>minimis</w:t>
      </w:r>
      <w:r w:rsidRPr="00FF1FAB">
        <w:rPr>
          <w:rFonts w:ascii="Times New Roman" w:hAnsi="Times New Roman"/>
          <w:lang w:val="bg-BG"/>
        </w:rPr>
        <w:t>)</w:t>
      </w:r>
      <w:r w:rsidRPr="00673C82">
        <w:rPr>
          <w:rFonts w:ascii="Times New Roman" w:hAnsi="Times New Roman"/>
          <w:lang w:val="bg-BG"/>
        </w:rPr>
        <w:t xml:space="preserve"> </w:t>
      </w:r>
      <w:r w:rsidRPr="00FF1FAB">
        <w:rPr>
          <w:rFonts w:ascii="Times New Roman" w:hAnsi="Times New Roman"/>
          <w:lang w:val="bg-BG"/>
        </w:rPr>
        <w:t>за предприятия, предоставящи услуги от общ икономически интерес</w:t>
      </w:r>
      <w:r w:rsidRPr="00673C82">
        <w:rPr>
          <w:rFonts w:ascii="Times New Roman" w:hAnsi="Times New Roman"/>
          <w:lang w:val="bg-BG"/>
        </w:rPr>
        <w:t xml:space="preserve"> </w:t>
      </w:r>
      <w:r w:rsidRPr="00FF1FAB">
        <w:rPr>
          <w:rFonts w:ascii="Times New Roman" w:hAnsi="Times New Roman"/>
          <w:lang w:val="bg-BG"/>
        </w:rPr>
        <w:t xml:space="preserve">(ОВ </w:t>
      </w:r>
      <w:r w:rsidRPr="00673C82">
        <w:rPr>
          <w:rFonts w:ascii="Times New Roman" w:hAnsi="Times New Roman"/>
        </w:rPr>
        <w:t>L</w:t>
      </w:r>
      <w:r w:rsidRPr="00FF1FAB">
        <w:rPr>
          <w:rFonts w:ascii="Times New Roman" w:hAnsi="Times New Roman"/>
          <w:lang w:val="bg-BG"/>
        </w:rPr>
        <w:t xml:space="preserve"> 114, 26.4.2012 г., стр.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626" w:rsidRPr="0010587A" w:rsidRDefault="00B65626" w:rsidP="00B65626">
    <w:pPr>
      <w:pStyle w:val="a4"/>
      <w:pBdr>
        <w:bottom w:val="single" w:sz="6" w:space="1" w:color="auto"/>
      </w:pBdr>
      <w:spacing w:after="120" w:line="276" w:lineRule="auto"/>
      <w:rPr>
        <w:lang w:val="en-US"/>
      </w:rPr>
    </w:pPr>
    <w:r w:rsidRPr="0010587A">
      <w:rPr>
        <w:noProof/>
      </w:rPr>
      <w:drawing>
        <wp:inline distT="0" distB="0" distL="0" distR="0" wp14:anchorId="141FE7A6" wp14:editId="27068753">
          <wp:extent cx="2207172" cy="7674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rsidRPr="0010587A">
      <w:ptab w:relativeTo="margin" w:alignment="center" w:leader="none"/>
    </w:r>
    <w:r w:rsidRPr="0010587A">
      <w:ptab w:relativeTo="margin" w:alignment="right" w:leader="none"/>
    </w:r>
    <w:r w:rsidRPr="0010587A">
      <w:rPr>
        <w:noProof/>
      </w:rPr>
      <w:drawing>
        <wp:inline distT="0" distB="0" distL="0" distR="0" wp14:anchorId="40824196" wp14:editId="601AE770">
          <wp:extent cx="1939158" cy="67283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63117" cy="681147"/>
                  </a:xfrm>
                  <a:prstGeom prst="rect">
                    <a:avLst/>
                  </a:prstGeom>
                  <a:noFill/>
                  <a:ln>
                    <a:noFill/>
                  </a:ln>
                  <a:extLst>
                    <a:ext uri="{53640926-AAD7-44D8-BBD7-CCE9431645EC}">
                      <a14:shadowObscured xmlns:a14="http://schemas.microsoft.com/office/drawing/2010/main"/>
                    </a:ext>
                  </a:extLst>
                </pic:spPr>
              </pic:pic>
            </a:graphicData>
          </a:graphic>
        </wp:inline>
      </w:drawing>
    </w:r>
  </w:p>
  <w:p w:rsidR="002458EE" w:rsidRPr="006F249C" w:rsidRDefault="002458EE" w:rsidP="002458EE">
    <w:pPr>
      <w:pStyle w:val="a4"/>
      <w:jc w:val="right"/>
      <w:rPr>
        <w:i/>
      </w:rPr>
    </w:pPr>
    <w:r w:rsidRPr="006F249C">
      <w:rPr>
        <w:i/>
      </w:rPr>
      <w:t xml:space="preserve">Приложение </w:t>
    </w:r>
    <w:r w:rsidRPr="00ED324C">
      <w:rPr>
        <w:i/>
      </w:rPr>
      <w:t>№</w:t>
    </w:r>
    <w:r w:rsidR="00BA6190">
      <w:rPr>
        <w:i/>
        <w:lang w:val="en-US"/>
      </w:rPr>
      <w:t>1</w:t>
    </w:r>
    <w:r w:rsidRPr="006F249C">
      <w:rPr>
        <w:i/>
      </w:rPr>
      <w:t>– образец</w:t>
    </w:r>
  </w:p>
  <w:p w:rsidR="00B65626" w:rsidRDefault="00B656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292AA71A"/>
    <w:lvl w:ilvl="0" w:tplc="0BCAB2A2">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F7E0D"/>
    <w:multiLevelType w:val="hybridMultilevel"/>
    <w:tmpl w:val="27AE972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3E174DB"/>
    <w:multiLevelType w:val="hybridMultilevel"/>
    <w:tmpl w:val="68C27634"/>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0CA4348B"/>
    <w:multiLevelType w:val="hybridMultilevel"/>
    <w:tmpl w:val="0416FD16"/>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0D9A7EDB"/>
    <w:multiLevelType w:val="hybridMultilevel"/>
    <w:tmpl w:val="F34E850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16633DD"/>
    <w:multiLevelType w:val="hybridMultilevel"/>
    <w:tmpl w:val="4EA8FDE4"/>
    <w:lvl w:ilvl="0" w:tplc="541C457E">
      <w:start w:val="1"/>
      <w:numFmt w:val="decimal"/>
      <w:lvlText w:val="%1."/>
      <w:lvlJc w:val="left"/>
      <w:pPr>
        <w:ind w:left="366" w:hanging="360"/>
      </w:pPr>
      <w:rPr>
        <w:rFonts w:hint="default"/>
      </w:rPr>
    </w:lvl>
    <w:lvl w:ilvl="1" w:tplc="04020019" w:tentative="1">
      <w:start w:val="1"/>
      <w:numFmt w:val="lowerLetter"/>
      <w:lvlText w:val="%2."/>
      <w:lvlJc w:val="left"/>
      <w:pPr>
        <w:ind w:left="1086" w:hanging="360"/>
      </w:pPr>
    </w:lvl>
    <w:lvl w:ilvl="2" w:tplc="0402001B" w:tentative="1">
      <w:start w:val="1"/>
      <w:numFmt w:val="lowerRoman"/>
      <w:lvlText w:val="%3."/>
      <w:lvlJc w:val="right"/>
      <w:pPr>
        <w:ind w:left="1806" w:hanging="180"/>
      </w:pPr>
    </w:lvl>
    <w:lvl w:ilvl="3" w:tplc="0402000F" w:tentative="1">
      <w:start w:val="1"/>
      <w:numFmt w:val="decimal"/>
      <w:lvlText w:val="%4."/>
      <w:lvlJc w:val="left"/>
      <w:pPr>
        <w:ind w:left="2526" w:hanging="360"/>
      </w:pPr>
    </w:lvl>
    <w:lvl w:ilvl="4" w:tplc="04020019" w:tentative="1">
      <w:start w:val="1"/>
      <w:numFmt w:val="lowerLetter"/>
      <w:lvlText w:val="%5."/>
      <w:lvlJc w:val="left"/>
      <w:pPr>
        <w:ind w:left="3246" w:hanging="360"/>
      </w:pPr>
    </w:lvl>
    <w:lvl w:ilvl="5" w:tplc="0402001B" w:tentative="1">
      <w:start w:val="1"/>
      <w:numFmt w:val="lowerRoman"/>
      <w:lvlText w:val="%6."/>
      <w:lvlJc w:val="right"/>
      <w:pPr>
        <w:ind w:left="3966" w:hanging="180"/>
      </w:pPr>
    </w:lvl>
    <w:lvl w:ilvl="6" w:tplc="0402000F" w:tentative="1">
      <w:start w:val="1"/>
      <w:numFmt w:val="decimal"/>
      <w:lvlText w:val="%7."/>
      <w:lvlJc w:val="left"/>
      <w:pPr>
        <w:ind w:left="4686" w:hanging="360"/>
      </w:pPr>
    </w:lvl>
    <w:lvl w:ilvl="7" w:tplc="04020019" w:tentative="1">
      <w:start w:val="1"/>
      <w:numFmt w:val="lowerLetter"/>
      <w:lvlText w:val="%8."/>
      <w:lvlJc w:val="left"/>
      <w:pPr>
        <w:ind w:left="5406" w:hanging="360"/>
      </w:pPr>
    </w:lvl>
    <w:lvl w:ilvl="8" w:tplc="0402001B" w:tentative="1">
      <w:start w:val="1"/>
      <w:numFmt w:val="lowerRoman"/>
      <w:lvlText w:val="%9."/>
      <w:lvlJc w:val="right"/>
      <w:pPr>
        <w:ind w:left="6126" w:hanging="180"/>
      </w:pPr>
    </w:lvl>
  </w:abstractNum>
  <w:abstractNum w:abstractNumId="6">
    <w:nsid w:val="12265FCD"/>
    <w:multiLevelType w:val="hybridMultilevel"/>
    <w:tmpl w:val="E6D06EF0"/>
    <w:lvl w:ilvl="0" w:tplc="83C6B812">
      <w:start w:val="1"/>
      <w:numFmt w:val="decimal"/>
      <w:lvlText w:val="Чл.%1."/>
      <w:lvlJc w:val="left"/>
      <w:pPr>
        <w:tabs>
          <w:tab w:val="num" w:pos="284"/>
        </w:tabs>
        <w:ind w:left="284" w:firstLine="0"/>
      </w:pPr>
      <w:rPr>
        <w:rFonts w:ascii="Times New Roman" w:hAnsi="Times New Roman" w:hint="default"/>
        <w:b w:val="0"/>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237AE3"/>
    <w:multiLevelType w:val="hybridMultilevel"/>
    <w:tmpl w:val="5D3C3B6A"/>
    <w:lvl w:ilvl="0" w:tplc="37A41416">
      <w:start w:val="1"/>
      <w:numFmt w:val="bullet"/>
      <w:lvlText w:val="−"/>
      <w:lvlJc w:val="left"/>
      <w:pPr>
        <w:ind w:left="360" w:hanging="360"/>
      </w:pPr>
      <w:rPr>
        <w:rFonts w:ascii="Times New Roman" w:hAnsi="Times New Roman" w:cs="Times New Roman" w:hint="default"/>
      </w:rPr>
    </w:lvl>
    <w:lvl w:ilvl="1" w:tplc="04020011">
      <w:start w:val="1"/>
      <w:numFmt w:val="decimal"/>
      <w:lvlText w:val="%2)"/>
      <w:lvlJc w:val="left"/>
      <w:pPr>
        <w:ind w:left="1080" w:hanging="360"/>
      </w:pPr>
      <w:rPr>
        <w:rFont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nsid w:val="1C232124"/>
    <w:multiLevelType w:val="hybridMultilevel"/>
    <w:tmpl w:val="12C4354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3802CA7"/>
    <w:multiLevelType w:val="hybridMultilevel"/>
    <w:tmpl w:val="8BA475E6"/>
    <w:lvl w:ilvl="0" w:tplc="04020001">
      <w:start w:val="1"/>
      <w:numFmt w:val="bullet"/>
      <w:lvlText w:val=""/>
      <w:lvlJc w:val="left"/>
      <w:pPr>
        <w:ind w:left="360" w:hanging="360"/>
      </w:pPr>
      <w:rPr>
        <w:rFonts w:ascii="Symbol" w:hAnsi="Symbol" w:hint="default"/>
      </w:rPr>
    </w:lvl>
    <w:lvl w:ilvl="1" w:tplc="0402000F">
      <w:start w:val="1"/>
      <w:numFmt w:val="decimal"/>
      <w:lvlText w:val="%2."/>
      <w:lvlJc w:val="left"/>
      <w:pPr>
        <w:ind w:left="1080" w:hanging="360"/>
      </w:pPr>
      <w:rPr>
        <w:rFont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nsid w:val="2516743B"/>
    <w:multiLevelType w:val="hybridMultilevel"/>
    <w:tmpl w:val="AEAA2250"/>
    <w:lvl w:ilvl="0" w:tplc="10C4A65C">
      <w:start w:val="1"/>
      <w:numFmt w:val="bullet"/>
      <w:lvlText w:val=""/>
      <w:lvlJc w:val="left"/>
      <w:pPr>
        <w:tabs>
          <w:tab w:val="num" w:pos="567"/>
        </w:tabs>
        <w:ind w:left="737" w:hanging="17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84923CD"/>
    <w:multiLevelType w:val="multilevel"/>
    <w:tmpl w:val="69CC35C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F7043D"/>
    <w:multiLevelType w:val="hybridMultilevel"/>
    <w:tmpl w:val="5FE2EBF0"/>
    <w:lvl w:ilvl="0" w:tplc="EE54C598">
      <w:start w:val="1"/>
      <w:numFmt w:val="decimal"/>
      <w:lvlText w:val="Чл. %1."/>
      <w:lvlJc w:val="left"/>
      <w:pPr>
        <w:ind w:left="360" w:hanging="360"/>
      </w:pPr>
      <w:rPr>
        <w:rFonts w:ascii="Times New Roman" w:hAnsi="Times New Roman" w:cs="Times New Roman" w:hint="default"/>
        <w:b/>
        <w:i w:val="0"/>
        <w:sz w:val="24"/>
        <w:szCs w:val="24"/>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3">
    <w:nsid w:val="2FA86EFE"/>
    <w:multiLevelType w:val="hybridMultilevel"/>
    <w:tmpl w:val="37DE9012"/>
    <w:lvl w:ilvl="0" w:tplc="9232F57E">
      <w:start w:val="1"/>
      <w:numFmt w:val="decimal"/>
      <w:lvlText w:val="%1."/>
      <w:lvlJc w:val="left"/>
      <w:pPr>
        <w:ind w:left="750" w:hanging="39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2F51D14"/>
    <w:multiLevelType w:val="multilevel"/>
    <w:tmpl w:val="8CFE594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987E07"/>
    <w:multiLevelType w:val="hybridMultilevel"/>
    <w:tmpl w:val="44F61794"/>
    <w:lvl w:ilvl="0" w:tplc="37A41416">
      <w:start w:val="1"/>
      <w:numFmt w:val="bullet"/>
      <w:lvlText w:val="−"/>
      <w:lvlJc w:val="left"/>
      <w:pPr>
        <w:ind w:left="720" w:hanging="360"/>
      </w:pPr>
      <w:rPr>
        <w:rFonts w:ascii="Times New Roman" w:hAnsi="Times New Roman" w:cs="Times New Roman" w:hint="default"/>
      </w:rPr>
    </w:lvl>
    <w:lvl w:ilvl="1" w:tplc="BB38E868">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EEE7080"/>
    <w:multiLevelType w:val="hybridMultilevel"/>
    <w:tmpl w:val="62885504"/>
    <w:lvl w:ilvl="0" w:tplc="10C4A65C">
      <w:start w:val="1"/>
      <w:numFmt w:val="bullet"/>
      <w:lvlText w:val=""/>
      <w:lvlJc w:val="left"/>
      <w:pPr>
        <w:tabs>
          <w:tab w:val="num" w:pos="1097"/>
        </w:tabs>
        <w:ind w:left="1267" w:hanging="170"/>
      </w:pPr>
      <w:rPr>
        <w:rFonts w:ascii="Symbol" w:hAnsi="Symbol" w:hint="default"/>
        <w:color w:val="auto"/>
      </w:rPr>
    </w:lvl>
    <w:lvl w:ilvl="1" w:tplc="04020003">
      <w:start w:val="1"/>
      <w:numFmt w:val="bullet"/>
      <w:lvlText w:val="o"/>
      <w:lvlJc w:val="left"/>
      <w:pPr>
        <w:tabs>
          <w:tab w:val="num" w:pos="1970"/>
        </w:tabs>
        <w:ind w:left="1970" w:hanging="360"/>
      </w:pPr>
      <w:rPr>
        <w:rFonts w:ascii="Courier New" w:hAnsi="Courier New" w:cs="Courier New" w:hint="default"/>
      </w:rPr>
    </w:lvl>
    <w:lvl w:ilvl="2" w:tplc="04020005" w:tentative="1">
      <w:start w:val="1"/>
      <w:numFmt w:val="bullet"/>
      <w:lvlText w:val=""/>
      <w:lvlJc w:val="left"/>
      <w:pPr>
        <w:tabs>
          <w:tab w:val="num" w:pos="2690"/>
        </w:tabs>
        <w:ind w:left="2690" w:hanging="360"/>
      </w:pPr>
      <w:rPr>
        <w:rFonts w:ascii="Wingdings" w:hAnsi="Wingdings" w:hint="default"/>
      </w:rPr>
    </w:lvl>
    <w:lvl w:ilvl="3" w:tplc="04020001" w:tentative="1">
      <w:start w:val="1"/>
      <w:numFmt w:val="bullet"/>
      <w:lvlText w:val=""/>
      <w:lvlJc w:val="left"/>
      <w:pPr>
        <w:tabs>
          <w:tab w:val="num" w:pos="3410"/>
        </w:tabs>
        <w:ind w:left="3410" w:hanging="360"/>
      </w:pPr>
      <w:rPr>
        <w:rFonts w:ascii="Symbol" w:hAnsi="Symbol" w:hint="default"/>
      </w:rPr>
    </w:lvl>
    <w:lvl w:ilvl="4" w:tplc="04020003" w:tentative="1">
      <w:start w:val="1"/>
      <w:numFmt w:val="bullet"/>
      <w:lvlText w:val="o"/>
      <w:lvlJc w:val="left"/>
      <w:pPr>
        <w:tabs>
          <w:tab w:val="num" w:pos="4130"/>
        </w:tabs>
        <w:ind w:left="4130" w:hanging="360"/>
      </w:pPr>
      <w:rPr>
        <w:rFonts w:ascii="Courier New" w:hAnsi="Courier New" w:cs="Courier New" w:hint="default"/>
      </w:rPr>
    </w:lvl>
    <w:lvl w:ilvl="5" w:tplc="04020005" w:tentative="1">
      <w:start w:val="1"/>
      <w:numFmt w:val="bullet"/>
      <w:lvlText w:val=""/>
      <w:lvlJc w:val="left"/>
      <w:pPr>
        <w:tabs>
          <w:tab w:val="num" w:pos="4850"/>
        </w:tabs>
        <w:ind w:left="4850" w:hanging="360"/>
      </w:pPr>
      <w:rPr>
        <w:rFonts w:ascii="Wingdings" w:hAnsi="Wingdings" w:hint="default"/>
      </w:rPr>
    </w:lvl>
    <w:lvl w:ilvl="6" w:tplc="04020001" w:tentative="1">
      <w:start w:val="1"/>
      <w:numFmt w:val="bullet"/>
      <w:lvlText w:val=""/>
      <w:lvlJc w:val="left"/>
      <w:pPr>
        <w:tabs>
          <w:tab w:val="num" w:pos="5570"/>
        </w:tabs>
        <w:ind w:left="5570" w:hanging="360"/>
      </w:pPr>
      <w:rPr>
        <w:rFonts w:ascii="Symbol" w:hAnsi="Symbol" w:hint="default"/>
      </w:rPr>
    </w:lvl>
    <w:lvl w:ilvl="7" w:tplc="04020003" w:tentative="1">
      <w:start w:val="1"/>
      <w:numFmt w:val="bullet"/>
      <w:lvlText w:val="o"/>
      <w:lvlJc w:val="left"/>
      <w:pPr>
        <w:tabs>
          <w:tab w:val="num" w:pos="6290"/>
        </w:tabs>
        <w:ind w:left="6290" w:hanging="360"/>
      </w:pPr>
      <w:rPr>
        <w:rFonts w:ascii="Courier New" w:hAnsi="Courier New" w:cs="Courier New" w:hint="default"/>
      </w:rPr>
    </w:lvl>
    <w:lvl w:ilvl="8" w:tplc="04020005" w:tentative="1">
      <w:start w:val="1"/>
      <w:numFmt w:val="bullet"/>
      <w:lvlText w:val=""/>
      <w:lvlJc w:val="left"/>
      <w:pPr>
        <w:tabs>
          <w:tab w:val="num" w:pos="7010"/>
        </w:tabs>
        <w:ind w:left="7010" w:hanging="360"/>
      </w:pPr>
      <w:rPr>
        <w:rFonts w:ascii="Wingdings" w:hAnsi="Wingdings" w:hint="default"/>
      </w:rPr>
    </w:lvl>
  </w:abstractNum>
  <w:abstractNum w:abstractNumId="17">
    <w:nsid w:val="516C63F6"/>
    <w:multiLevelType w:val="hybridMultilevel"/>
    <w:tmpl w:val="45C89344"/>
    <w:lvl w:ilvl="0" w:tplc="04020011">
      <w:start w:val="1"/>
      <w:numFmt w:val="decimal"/>
      <w:lvlText w:val="%1)"/>
      <w:lvlJc w:val="left"/>
      <w:pPr>
        <w:tabs>
          <w:tab w:val="num" w:pos="340"/>
        </w:tabs>
        <w:ind w:left="510" w:hanging="170"/>
      </w:pPr>
      <w:rPr>
        <w:rFonts w:hint="default"/>
        <w:color w:val="auto"/>
      </w:rPr>
    </w:lvl>
    <w:lvl w:ilvl="1" w:tplc="04020003">
      <w:start w:val="1"/>
      <w:numFmt w:val="bullet"/>
      <w:lvlText w:val="o"/>
      <w:lvlJc w:val="left"/>
      <w:pPr>
        <w:tabs>
          <w:tab w:val="num" w:pos="1213"/>
        </w:tabs>
        <w:ind w:left="1213" w:hanging="360"/>
      </w:pPr>
      <w:rPr>
        <w:rFonts w:ascii="Courier New" w:hAnsi="Courier New" w:cs="Courier New" w:hint="default"/>
      </w:rPr>
    </w:lvl>
    <w:lvl w:ilvl="2" w:tplc="04020005" w:tentative="1">
      <w:start w:val="1"/>
      <w:numFmt w:val="bullet"/>
      <w:lvlText w:val=""/>
      <w:lvlJc w:val="left"/>
      <w:pPr>
        <w:tabs>
          <w:tab w:val="num" w:pos="1933"/>
        </w:tabs>
        <w:ind w:left="1933" w:hanging="360"/>
      </w:pPr>
      <w:rPr>
        <w:rFonts w:ascii="Wingdings" w:hAnsi="Wingdings" w:hint="default"/>
      </w:rPr>
    </w:lvl>
    <w:lvl w:ilvl="3" w:tplc="04020001" w:tentative="1">
      <w:start w:val="1"/>
      <w:numFmt w:val="bullet"/>
      <w:lvlText w:val=""/>
      <w:lvlJc w:val="left"/>
      <w:pPr>
        <w:tabs>
          <w:tab w:val="num" w:pos="2653"/>
        </w:tabs>
        <w:ind w:left="2653" w:hanging="360"/>
      </w:pPr>
      <w:rPr>
        <w:rFonts w:ascii="Symbol" w:hAnsi="Symbol" w:hint="default"/>
      </w:rPr>
    </w:lvl>
    <w:lvl w:ilvl="4" w:tplc="04020003" w:tentative="1">
      <w:start w:val="1"/>
      <w:numFmt w:val="bullet"/>
      <w:lvlText w:val="o"/>
      <w:lvlJc w:val="left"/>
      <w:pPr>
        <w:tabs>
          <w:tab w:val="num" w:pos="3373"/>
        </w:tabs>
        <w:ind w:left="3373" w:hanging="360"/>
      </w:pPr>
      <w:rPr>
        <w:rFonts w:ascii="Courier New" w:hAnsi="Courier New" w:cs="Courier New" w:hint="default"/>
      </w:rPr>
    </w:lvl>
    <w:lvl w:ilvl="5" w:tplc="04020005" w:tentative="1">
      <w:start w:val="1"/>
      <w:numFmt w:val="bullet"/>
      <w:lvlText w:val=""/>
      <w:lvlJc w:val="left"/>
      <w:pPr>
        <w:tabs>
          <w:tab w:val="num" w:pos="4093"/>
        </w:tabs>
        <w:ind w:left="4093" w:hanging="360"/>
      </w:pPr>
      <w:rPr>
        <w:rFonts w:ascii="Wingdings" w:hAnsi="Wingdings" w:hint="default"/>
      </w:rPr>
    </w:lvl>
    <w:lvl w:ilvl="6" w:tplc="04020001" w:tentative="1">
      <w:start w:val="1"/>
      <w:numFmt w:val="bullet"/>
      <w:lvlText w:val=""/>
      <w:lvlJc w:val="left"/>
      <w:pPr>
        <w:tabs>
          <w:tab w:val="num" w:pos="4813"/>
        </w:tabs>
        <w:ind w:left="4813" w:hanging="360"/>
      </w:pPr>
      <w:rPr>
        <w:rFonts w:ascii="Symbol" w:hAnsi="Symbol" w:hint="default"/>
      </w:rPr>
    </w:lvl>
    <w:lvl w:ilvl="7" w:tplc="04020003" w:tentative="1">
      <w:start w:val="1"/>
      <w:numFmt w:val="bullet"/>
      <w:lvlText w:val="o"/>
      <w:lvlJc w:val="left"/>
      <w:pPr>
        <w:tabs>
          <w:tab w:val="num" w:pos="5533"/>
        </w:tabs>
        <w:ind w:left="5533" w:hanging="360"/>
      </w:pPr>
      <w:rPr>
        <w:rFonts w:ascii="Courier New" w:hAnsi="Courier New" w:cs="Courier New" w:hint="default"/>
      </w:rPr>
    </w:lvl>
    <w:lvl w:ilvl="8" w:tplc="04020005" w:tentative="1">
      <w:start w:val="1"/>
      <w:numFmt w:val="bullet"/>
      <w:lvlText w:val=""/>
      <w:lvlJc w:val="left"/>
      <w:pPr>
        <w:tabs>
          <w:tab w:val="num" w:pos="6253"/>
        </w:tabs>
        <w:ind w:left="6253" w:hanging="360"/>
      </w:pPr>
      <w:rPr>
        <w:rFonts w:ascii="Wingdings" w:hAnsi="Wingdings" w:hint="default"/>
      </w:rPr>
    </w:lvl>
  </w:abstractNum>
  <w:abstractNum w:abstractNumId="18">
    <w:nsid w:val="547F51FA"/>
    <w:multiLevelType w:val="hybridMultilevel"/>
    <w:tmpl w:val="16922942"/>
    <w:lvl w:ilvl="0" w:tplc="2DA6B430">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9">
    <w:nsid w:val="558A6272"/>
    <w:multiLevelType w:val="multilevel"/>
    <w:tmpl w:val="27C05B5C"/>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20">
    <w:nsid w:val="58087BE3"/>
    <w:multiLevelType w:val="hybridMultilevel"/>
    <w:tmpl w:val="28E062B4"/>
    <w:lvl w:ilvl="0" w:tplc="04020011">
      <w:start w:val="1"/>
      <w:numFmt w:val="decimal"/>
      <w:lvlText w:val="%1)"/>
      <w:lvlJc w:val="left"/>
      <w:pPr>
        <w:ind w:left="360" w:hanging="360"/>
      </w:pPr>
      <w:rPr>
        <w:rFonts w:hint="default"/>
      </w:rPr>
    </w:lvl>
    <w:lvl w:ilvl="1" w:tplc="04020011">
      <w:start w:val="1"/>
      <w:numFmt w:val="decimal"/>
      <w:lvlText w:val="%2)"/>
      <w:lvlJc w:val="left"/>
      <w:pPr>
        <w:ind w:left="1080" w:hanging="360"/>
      </w:pPr>
      <w:rPr>
        <w:rFont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nsid w:val="60097C0F"/>
    <w:multiLevelType w:val="hybridMultilevel"/>
    <w:tmpl w:val="68CE14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3C67CC8"/>
    <w:multiLevelType w:val="hybridMultilevel"/>
    <w:tmpl w:val="CE3EAB76"/>
    <w:lvl w:ilvl="0" w:tplc="427049D4">
      <w:start w:val="2"/>
      <w:numFmt w:val="bullet"/>
      <w:lvlText w:val="-"/>
      <w:lvlJc w:val="left"/>
      <w:pPr>
        <w:ind w:left="364" w:hanging="360"/>
      </w:pPr>
      <w:rPr>
        <w:rFonts w:ascii="Times New Roman" w:eastAsiaTheme="minorHAnsi" w:hAnsi="Times New Roman" w:cs="Times New Roman" w:hint="default"/>
        <w:color w:val="auto"/>
      </w:rPr>
    </w:lvl>
    <w:lvl w:ilvl="1" w:tplc="04020003" w:tentative="1">
      <w:start w:val="1"/>
      <w:numFmt w:val="bullet"/>
      <w:lvlText w:val="o"/>
      <w:lvlJc w:val="left"/>
      <w:pPr>
        <w:ind w:left="1084" w:hanging="360"/>
      </w:pPr>
      <w:rPr>
        <w:rFonts w:ascii="Courier New" w:hAnsi="Courier New" w:cs="Courier New" w:hint="default"/>
      </w:rPr>
    </w:lvl>
    <w:lvl w:ilvl="2" w:tplc="04020005" w:tentative="1">
      <w:start w:val="1"/>
      <w:numFmt w:val="bullet"/>
      <w:lvlText w:val=""/>
      <w:lvlJc w:val="left"/>
      <w:pPr>
        <w:ind w:left="1804" w:hanging="360"/>
      </w:pPr>
      <w:rPr>
        <w:rFonts w:ascii="Wingdings" w:hAnsi="Wingdings" w:hint="default"/>
      </w:rPr>
    </w:lvl>
    <w:lvl w:ilvl="3" w:tplc="04020001" w:tentative="1">
      <w:start w:val="1"/>
      <w:numFmt w:val="bullet"/>
      <w:lvlText w:val=""/>
      <w:lvlJc w:val="left"/>
      <w:pPr>
        <w:ind w:left="2524" w:hanging="360"/>
      </w:pPr>
      <w:rPr>
        <w:rFonts w:ascii="Symbol" w:hAnsi="Symbol" w:hint="default"/>
      </w:rPr>
    </w:lvl>
    <w:lvl w:ilvl="4" w:tplc="04020003" w:tentative="1">
      <w:start w:val="1"/>
      <w:numFmt w:val="bullet"/>
      <w:lvlText w:val="o"/>
      <w:lvlJc w:val="left"/>
      <w:pPr>
        <w:ind w:left="3244" w:hanging="360"/>
      </w:pPr>
      <w:rPr>
        <w:rFonts w:ascii="Courier New" w:hAnsi="Courier New" w:cs="Courier New" w:hint="default"/>
      </w:rPr>
    </w:lvl>
    <w:lvl w:ilvl="5" w:tplc="04020005" w:tentative="1">
      <w:start w:val="1"/>
      <w:numFmt w:val="bullet"/>
      <w:lvlText w:val=""/>
      <w:lvlJc w:val="left"/>
      <w:pPr>
        <w:ind w:left="3964" w:hanging="360"/>
      </w:pPr>
      <w:rPr>
        <w:rFonts w:ascii="Wingdings" w:hAnsi="Wingdings" w:hint="default"/>
      </w:rPr>
    </w:lvl>
    <w:lvl w:ilvl="6" w:tplc="04020001" w:tentative="1">
      <w:start w:val="1"/>
      <w:numFmt w:val="bullet"/>
      <w:lvlText w:val=""/>
      <w:lvlJc w:val="left"/>
      <w:pPr>
        <w:ind w:left="4684" w:hanging="360"/>
      </w:pPr>
      <w:rPr>
        <w:rFonts w:ascii="Symbol" w:hAnsi="Symbol" w:hint="default"/>
      </w:rPr>
    </w:lvl>
    <w:lvl w:ilvl="7" w:tplc="04020003" w:tentative="1">
      <w:start w:val="1"/>
      <w:numFmt w:val="bullet"/>
      <w:lvlText w:val="o"/>
      <w:lvlJc w:val="left"/>
      <w:pPr>
        <w:ind w:left="5404" w:hanging="360"/>
      </w:pPr>
      <w:rPr>
        <w:rFonts w:ascii="Courier New" w:hAnsi="Courier New" w:cs="Courier New" w:hint="default"/>
      </w:rPr>
    </w:lvl>
    <w:lvl w:ilvl="8" w:tplc="04020005" w:tentative="1">
      <w:start w:val="1"/>
      <w:numFmt w:val="bullet"/>
      <w:lvlText w:val=""/>
      <w:lvlJc w:val="left"/>
      <w:pPr>
        <w:ind w:left="6124" w:hanging="360"/>
      </w:pPr>
      <w:rPr>
        <w:rFonts w:ascii="Wingdings" w:hAnsi="Wingdings" w:hint="default"/>
      </w:rPr>
    </w:lvl>
  </w:abstractNum>
  <w:abstractNum w:abstractNumId="23">
    <w:nsid w:val="65CC0AF9"/>
    <w:multiLevelType w:val="hybridMultilevel"/>
    <w:tmpl w:val="B1442A00"/>
    <w:lvl w:ilvl="0" w:tplc="04BE56C8">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6F809C8"/>
    <w:multiLevelType w:val="hybridMultilevel"/>
    <w:tmpl w:val="E28235B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64B6CFD"/>
    <w:multiLevelType w:val="hybridMultilevel"/>
    <w:tmpl w:val="D6EA7B4E"/>
    <w:lvl w:ilvl="0" w:tplc="00007FF5">
      <w:start w:val="1"/>
      <w:numFmt w:val="bullet"/>
      <w:lvlText w:val="-"/>
      <w:lvlJc w:val="left"/>
      <w:pPr>
        <w:ind w:left="720" w:hanging="360"/>
      </w:p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7DA27DE"/>
    <w:multiLevelType w:val="hybridMultilevel"/>
    <w:tmpl w:val="6A0E1798"/>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E740AEA"/>
    <w:multiLevelType w:val="hybridMultilevel"/>
    <w:tmpl w:val="A880AC9E"/>
    <w:lvl w:ilvl="0" w:tplc="04020011">
      <w:start w:val="1"/>
      <w:numFmt w:val="decimal"/>
      <w:lvlText w:val="%1)"/>
      <w:lvlJc w:val="left"/>
      <w:pPr>
        <w:tabs>
          <w:tab w:val="num" w:pos="567"/>
        </w:tabs>
        <w:ind w:left="737" w:hanging="170"/>
      </w:pPr>
      <w:rPr>
        <w:rFont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6"/>
  </w:num>
  <w:num w:numId="4">
    <w:abstractNumId w:val="12"/>
  </w:num>
  <w:num w:numId="5">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4"/>
  </w:num>
  <w:num w:numId="8">
    <w:abstractNumId w:val="23"/>
  </w:num>
  <w:num w:numId="9">
    <w:abstractNumId w:val="15"/>
  </w:num>
  <w:num w:numId="10">
    <w:abstractNumId w:val="8"/>
  </w:num>
  <w:num w:numId="11">
    <w:abstractNumId w:val="4"/>
  </w:num>
  <w:num w:numId="12">
    <w:abstractNumId w:val="10"/>
  </w:num>
  <w:num w:numId="13">
    <w:abstractNumId w:val="27"/>
  </w:num>
  <w:num w:numId="14">
    <w:abstractNumId w:val="26"/>
  </w:num>
  <w:num w:numId="15">
    <w:abstractNumId w:val="7"/>
  </w:num>
  <w:num w:numId="16">
    <w:abstractNumId w:val="20"/>
  </w:num>
  <w:num w:numId="17">
    <w:abstractNumId w:val="1"/>
  </w:num>
  <w:num w:numId="18">
    <w:abstractNumId w:val="3"/>
  </w:num>
  <w:num w:numId="19">
    <w:abstractNumId w:val="18"/>
  </w:num>
  <w:num w:numId="20">
    <w:abstractNumId w:val="6"/>
  </w:num>
  <w:num w:numId="21">
    <w:abstractNumId w:val="21"/>
  </w:num>
  <w:num w:numId="22">
    <w:abstractNumId w:val="2"/>
  </w:num>
  <w:num w:numId="23">
    <w:abstractNumId w:val="0"/>
  </w:num>
  <w:num w:numId="24">
    <w:abstractNumId w:val="19"/>
  </w:num>
  <w:num w:numId="25">
    <w:abstractNumId w:val="22"/>
  </w:num>
  <w:num w:numId="26">
    <w:abstractNumId w:val="5"/>
  </w:num>
  <w:num w:numId="27">
    <w:abstractNumId w:val="14"/>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DE"/>
    <w:rsid w:val="00005C2C"/>
    <w:rsid w:val="0003085C"/>
    <w:rsid w:val="00033153"/>
    <w:rsid w:val="000418F7"/>
    <w:rsid w:val="000479A9"/>
    <w:rsid w:val="000530BD"/>
    <w:rsid w:val="00071D97"/>
    <w:rsid w:val="000730B8"/>
    <w:rsid w:val="000741CA"/>
    <w:rsid w:val="00075EAC"/>
    <w:rsid w:val="0007732C"/>
    <w:rsid w:val="000948DD"/>
    <w:rsid w:val="000C2B75"/>
    <w:rsid w:val="000D0909"/>
    <w:rsid w:val="000D1E53"/>
    <w:rsid w:val="000E2ABE"/>
    <w:rsid w:val="000E5AB8"/>
    <w:rsid w:val="000E6A10"/>
    <w:rsid w:val="000F0BC8"/>
    <w:rsid w:val="000F4340"/>
    <w:rsid w:val="000F4428"/>
    <w:rsid w:val="000F5EE5"/>
    <w:rsid w:val="0010587A"/>
    <w:rsid w:val="0010796A"/>
    <w:rsid w:val="00112F69"/>
    <w:rsid w:val="00125825"/>
    <w:rsid w:val="001473A0"/>
    <w:rsid w:val="0015346F"/>
    <w:rsid w:val="0015420F"/>
    <w:rsid w:val="00186DBF"/>
    <w:rsid w:val="00193395"/>
    <w:rsid w:val="001A6A0E"/>
    <w:rsid w:val="001B54DF"/>
    <w:rsid w:val="001B68A7"/>
    <w:rsid w:val="001C48B1"/>
    <w:rsid w:val="001C7AFD"/>
    <w:rsid w:val="001F13E5"/>
    <w:rsid w:val="00213F2A"/>
    <w:rsid w:val="0021750E"/>
    <w:rsid w:val="00243957"/>
    <w:rsid w:val="002458EE"/>
    <w:rsid w:val="0025325D"/>
    <w:rsid w:val="00274F10"/>
    <w:rsid w:val="00287C7E"/>
    <w:rsid w:val="002A25C2"/>
    <w:rsid w:val="002A400F"/>
    <w:rsid w:val="002B5A0D"/>
    <w:rsid w:val="002C17A0"/>
    <w:rsid w:val="002C3702"/>
    <w:rsid w:val="002D7178"/>
    <w:rsid w:val="002E3DDA"/>
    <w:rsid w:val="002E4813"/>
    <w:rsid w:val="002E765D"/>
    <w:rsid w:val="002F74B3"/>
    <w:rsid w:val="0030098E"/>
    <w:rsid w:val="003063D7"/>
    <w:rsid w:val="00310B94"/>
    <w:rsid w:val="0031784D"/>
    <w:rsid w:val="0034407D"/>
    <w:rsid w:val="003520C3"/>
    <w:rsid w:val="00354446"/>
    <w:rsid w:val="0035799F"/>
    <w:rsid w:val="00383A28"/>
    <w:rsid w:val="0039014B"/>
    <w:rsid w:val="00395EA6"/>
    <w:rsid w:val="003A6419"/>
    <w:rsid w:val="003B6BA4"/>
    <w:rsid w:val="003C3787"/>
    <w:rsid w:val="003D246D"/>
    <w:rsid w:val="003F477A"/>
    <w:rsid w:val="0040075F"/>
    <w:rsid w:val="00424A20"/>
    <w:rsid w:val="00424D1C"/>
    <w:rsid w:val="00437E18"/>
    <w:rsid w:val="004557C1"/>
    <w:rsid w:val="00457A03"/>
    <w:rsid w:val="00461B94"/>
    <w:rsid w:val="004755C9"/>
    <w:rsid w:val="004777F7"/>
    <w:rsid w:val="0048479B"/>
    <w:rsid w:val="0049116A"/>
    <w:rsid w:val="004959CD"/>
    <w:rsid w:val="004977FC"/>
    <w:rsid w:val="004A3572"/>
    <w:rsid w:val="004A5A6B"/>
    <w:rsid w:val="004C2677"/>
    <w:rsid w:val="004C369A"/>
    <w:rsid w:val="004C727E"/>
    <w:rsid w:val="004D23B2"/>
    <w:rsid w:val="004D59E0"/>
    <w:rsid w:val="004E61F9"/>
    <w:rsid w:val="004F1CE0"/>
    <w:rsid w:val="004F2506"/>
    <w:rsid w:val="005003DB"/>
    <w:rsid w:val="00501D95"/>
    <w:rsid w:val="0051553F"/>
    <w:rsid w:val="00543852"/>
    <w:rsid w:val="005477B6"/>
    <w:rsid w:val="00552BCF"/>
    <w:rsid w:val="005559E6"/>
    <w:rsid w:val="005754E0"/>
    <w:rsid w:val="00595574"/>
    <w:rsid w:val="005960DB"/>
    <w:rsid w:val="005B0454"/>
    <w:rsid w:val="005D31DF"/>
    <w:rsid w:val="005D5B54"/>
    <w:rsid w:val="005F0D1E"/>
    <w:rsid w:val="005F38C6"/>
    <w:rsid w:val="0060313A"/>
    <w:rsid w:val="00604EC5"/>
    <w:rsid w:val="00625522"/>
    <w:rsid w:val="00626FFB"/>
    <w:rsid w:val="00663034"/>
    <w:rsid w:val="0066526E"/>
    <w:rsid w:val="00675B82"/>
    <w:rsid w:val="00690B96"/>
    <w:rsid w:val="00690E1A"/>
    <w:rsid w:val="00691259"/>
    <w:rsid w:val="006A469D"/>
    <w:rsid w:val="006A713E"/>
    <w:rsid w:val="006B1AF4"/>
    <w:rsid w:val="006B77AE"/>
    <w:rsid w:val="006E08D8"/>
    <w:rsid w:val="006E5D45"/>
    <w:rsid w:val="00710015"/>
    <w:rsid w:val="00711D7B"/>
    <w:rsid w:val="00711DAF"/>
    <w:rsid w:val="00724B39"/>
    <w:rsid w:val="0076297A"/>
    <w:rsid w:val="00777AC0"/>
    <w:rsid w:val="00787DFD"/>
    <w:rsid w:val="00793A66"/>
    <w:rsid w:val="007A2BF7"/>
    <w:rsid w:val="007B10D3"/>
    <w:rsid w:val="007D56CE"/>
    <w:rsid w:val="007D5B48"/>
    <w:rsid w:val="007E7B05"/>
    <w:rsid w:val="00811638"/>
    <w:rsid w:val="0081201F"/>
    <w:rsid w:val="008147D1"/>
    <w:rsid w:val="008201B0"/>
    <w:rsid w:val="00831767"/>
    <w:rsid w:val="00834AC9"/>
    <w:rsid w:val="00834D0D"/>
    <w:rsid w:val="008432DD"/>
    <w:rsid w:val="0084454E"/>
    <w:rsid w:val="00846A41"/>
    <w:rsid w:val="00853586"/>
    <w:rsid w:val="00856C69"/>
    <w:rsid w:val="0086249B"/>
    <w:rsid w:val="008637DA"/>
    <w:rsid w:val="008731EB"/>
    <w:rsid w:val="00873EA8"/>
    <w:rsid w:val="00873FA1"/>
    <w:rsid w:val="00892F8B"/>
    <w:rsid w:val="008A25FD"/>
    <w:rsid w:val="008B0842"/>
    <w:rsid w:val="008B55DF"/>
    <w:rsid w:val="008C74E8"/>
    <w:rsid w:val="008D1CCD"/>
    <w:rsid w:val="008D2ACD"/>
    <w:rsid w:val="008E23D2"/>
    <w:rsid w:val="00903DEA"/>
    <w:rsid w:val="00924816"/>
    <w:rsid w:val="009251A4"/>
    <w:rsid w:val="0092728C"/>
    <w:rsid w:val="00934137"/>
    <w:rsid w:val="009422FE"/>
    <w:rsid w:val="0095060E"/>
    <w:rsid w:val="00953909"/>
    <w:rsid w:val="00956CC4"/>
    <w:rsid w:val="00970C33"/>
    <w:rsid w:val="00971589"/>
    <w:rsid w:val="00974B59"/>
    <w:rsid w:val="009A087E"/>
    <w:rsid w:val="009A0D0C"/>
    <w:rsid w:val="009A29F8"/>
    <w:rsid w:val="009B6BC1"/>
    <w:rsid w:val="009D39D1"/>
    <w:rsid w:val="009F532B"/>
    <w:rsid w:val="009F5B76"/>
    <w:rsid w:val="009F7E2E"/>
    <w:rsid w:val="00A2206F"/>
    <w:rsid w:val="00A248E8"/>
    <w:rsid w:val="00A2530B"/>
    <w:rsid w:val="00A42373"/>
    <w:rsid w:val="00A44E94"/>
    <w:rsid w:val="00A47A09"/>
    <w:rsid w:val="00A61A85"/>
    <w:rsid w:val="00A657FF"/>
    <w:rsid w:val="00A94F16"/>
    <w:rsid w:val="00A974DE"/>
    <w:rsid w:val="00AA010D"/>
    <w:rsid w:val="00AA145E"/>
    <w:rsid w:val="00AA30DF"/>
    <w:rsid w:val="00AA489A"/>
    <w:rsid w:val="00AA4FB4"/>
    <w:rsid w:val="00AB0662"/>
    <w:rsid w:val="00AB7717"/>
    <w:rsid w:val="00AC13C0"/>
    <w:rsid w:val="00AD4A3F"/>
    <w:rsid w:val="00B10E33"/>
    <w:rsid w:val="00B41655"/>
    <w:rsid w:val="00B4561B"/>
    <w:rsid w:val="00B63556"/>
    <w:rsid w:val="00B65626"/>
    <w:rsid w:val="00B71B5C"/>
    <w:rsid w:val="00B74E7A"/>
    <w:rsid w:val="00B76E22"/>
    <w:rsid w:val="00BA08D9"/>
    <w:rsid w:val="00BA0EDA"/>
    <w:rsid w:val="00BA3519"/>
    <w:rsid w:val="00BA6190"/>
    <w:rsid w:val="00BB1CFA"/>
    <w:rsid w:val="00BB535E"/>
    <w:rsid w:val="00BB53E1"/>
    <w:rsid w:val="00BC1EB3"/>
    <w:rsid w:val="00BD6796"/>
    <w:rsid w:val="00BE1C1C"/>
    <w:rsid w:val="00BE3AE6"/>
    <w:rsid w:val="00BF57DE"/>
    <w:rsid w:val="00C10331"/>
    <w:rsid w:val="00C20E12"/>
    <w:rsid w:val="00C21E36"/>
    <w:rsid w:val="00C26FF8"/>
    <w:rsid w:val="00C54BDF"/>
    <w:rsid w:val="00C67421"/>
    <w:rsid w:val="00C75530"/>
    <w:rsid w:val="00C77AEC"/>
    <w:rsid w:val="00C835F0"/>
    <w:rsid w:val="00C86D49"/>
    <w:rsid w:val="00CA061E"/>
    <w:rsid w:val="00CB1BC7"/>
    <w:rsid w:val="00CC544C"/>
    <w:rsid w:val="00CC59D4"/>
    <w:rsid w:val="00CD1D9F"/>
    <w:rsid w:val="00CD4077"/>
    <w:rsid w:val="00D01AFB"/>
    <w:rsid w:val="00D16C35"/>
    <w:rsid w:val="00D21EB2"/>
    <w:rsid w:val="00D3526E"/>
    <w:rsid w:val="00D461F9"/>
    <w:rsid w:val="00D531DD"/>
    <w:rsid w:val="00D55EFB"/>
    <w:rsid w:val="00D602A3"/>
    <w:rsid w:val="00D828D6"/>
    <w:rsid w:val="00D86A80"/>
    <w:rsid w:val="00D95C70"/>
    <w:rsid w:val="00DA660E"/>
    <w:rsid w:val="00DC5D22"/>
    <w:rsid w:val="00DD0471"/>
    <w:rsid w:val="00DE1A67"/>
    <w:rsid w:val="00DF40F4"/>
    <w:rsid w:val="00E1266F"/>
    <w:rsid w:val="00E240F6"/>
    <w:rsid w:val="00E32903"/>
    <w:rsid w:val="00E46102"/>
    <w:rsid w:val="00E50171"/>
    <w:rsid w:val="00E55218"/>
    <w:rsid w:val="00E73C0B"/>
    <w:rsid w:val="00E760A3"/>
    <w:rsid w:val="00E818EE"/>
    <w:rsid w:val="00E9058B"/>
    <w:rsid w:val="00E90A78"/>
    <w:rsid w:val="00E944FA"/>
    <w:rsid w:val="00E97956"/>
    <w:rsid w:val="00EA4D31"/>
    <w:rsid w:val="00EA60C6"/>
    <w:rsid w:val="00EA6C76"/>
    <w:rsid w:val="00EE46E9"/>
    <w:rsid w:val="00EE6EEC"/>
    <w:rsid w:val="00EF2CB0"/>
    <w:rsid w:val="00EF403F"/>
    <w:rsid w:val="00EF7A47"/>
    <w:rsid w:val="00F141D4"/>
    <w:rsid w:val="00F32CE3"/>
    <w:rsid w:val="00F33B75"/>
    <w:rsid w:val="00F34853"/>
    <w:rsid w:val="00F34F9C"/>
    <w:rsid w:val="00F40277"/>
    <w:rsid w:val="00F4731D"/>
    <w:rsid w:val="00F55AD3"/>
    <w:rsid w:val="00F57438"/>
    <w:rsid w:val="00F5784A"/>
    <w:rsid w:val="00F6492E"/>
    <w:rsid w:val="00F7504C"/>
    <w:rsid w:val="00F76DFF"/>
    <w:rsid w:val="00F82362"/>
    <w:rsid w:val="00F83A22"/>
    <w:rsid w:val="00F87E2B"/>
    <w:rsid w:val="00FA4B3E"/>
    <w:rsid w:val="00FC1EC5"/>
    <w:rsid w:val="00FC3871"/>
    <w:rsid w:val="00FC6FE1"/>
    <w:rsid w:val="00FD1FF5"/>
    <w:rsid w:val="00FD20DC"/>
    <w:rsid w:val="00FD769A"/>
    <w:rsid w:val="00FE70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147D1"/>
  </w:style>
  <w:style w:type="paragraph" w:styleId="a3">
    <w:name w:val="List Paragraph"/>
    <w:basedOn w:val="a"/>
    <w:uiPriority w:val="34"/>
    <w:qFormat/>
    <w:rsid w:val="008147D1"/>
    <w:pPr>
      <w:ind w:left="720"/>
      <w:contextualSpacing/>
    </w:pPr>
  </w:style>
  <w:style w:type="character" w:customStyle="1" w:styleId="alt-edited1">
    <w:name w:val="alt-edited1"/>
    <w:basedOn w:val="a0"/>
    <w:rsid w:val="008147D1"/>
    <w:rPr>
      <w:color w:val="4D90F0"/>
    </w:rPr>
  </w:style>
  <w:style w:type="paragraph" w:styleId="a4">
    <w:name w:val="header"/>
    <w:basedOn w:val="a"/>
    <w:link w:val="a5"/>
    <w:uiPriority w:val="99"/>
    <w:rsid w:val="008D2AC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5">
    <w:name w:val="Горен колонтитул Знак"/>
    <w:basedOn w:val="a0"/>
    <w:link w:val="a4"/>
    <w:uiPriority w:val="99"/>
    <w:rsid w:val="008D2ACD"/>
    <w:rPr>
      <w:rFonts w:ascii="Times New Roman" w:eastAsia="Times New Roman" w:hAnsi="Times New Roman" w:cs="Times New Roman"/>
      <w:sz w:val="24"/>
      <w:szCs w:val="24"/>
      <w:lang w:eastAsia="bg-BG"/>
    </w:rPr>
  </w:style>
  <w:style w:type="paragraph" w:styleId="a6">
    <w:name w:val="Balloon Text"/>
    <w:basedOn w:val="a"/>
    <w:link w:val="a7"/>
    <w:uiPriority w:val="99"/>
    <w:semiHidden/>
    <w:unhideWhenUsed/>
    <w:rsid w:val="008D2ACD"/>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D2ACD"/>
    <w:rPr>
      <w:rFonts w:ascii="Tahoma" w:hAnsi="Tahoma" w:cs="Tahoma"/>
      <w:sz w:val="16"/>
      <w:szCs w:val="16"/>
    </w:rPr>
  </w:style>
  <w:style w:type="character" w:styleId="a8">
    <w:name w:val="annotation reference"/>
    <w:basedOn w:val="a0"/>
    <w:uiPriority w:val="99"/>
    <w:semiHidden/>
    <w:unhideWhenUsed/>
    <w:rsid w:val="003A6419"/>
    <w:rPr>
      <w:sz w:val="16"/>
      <w:szCs w:val="16"/>
    </w:rPr>
  </w:style>
  <w:style w:type="paragraph" w:styleId="a9">
    <w:name w:val="annotation text"/>
    <w:basedOn w:val="a"/>
    <w:link w:val="aa"/>
    <w:uiPriority w:val="99"/>
    <w:semiHidden/>
    <w:unhideWhenUsed/>
    <w:rsid w:val="003A6419"/>
    <w:pPr>
      <w:spacing w:line="240" w:lineRule="auto"/>
    </w:pPr>
    <w:rPr>
      <w:sz w:val="20"/>
      <w:szCs w:val="20"/>
    </w:rPr>
  </w:style>
  <w:style w:type="character" w:customStyle="1" w:styleId="aa">
    <w:name w:val="Текст на коментар Знак"/>
    <w:basedOn w:val="a0"/>
    <w:link w:val="a9"/>
    <w:uiPriority w:val="99"/>
    <w:semiHidden/>
    <w:rsid w:val="003A6419"/>
    <w:rPr>
      <w:sz w:val="20"/>
      <w:szCs w:val="20"/>
    </w:rPr>
  </w:style>
  <w:style w:type="paragraph" w:styleId="ab">
    <w:name w:val="annotation subject"/>
    <w:basedOn w:val="a9"/>
    <w:next w:val="a9"/>
    <w:link w:val="ac"/>
    <w:uiPriority w:val="99"/>
    <w:semiHidden/>
    <w:unhideWhenUsed/>
    <w:rsid w:val="003A6419"/>
    <w:rPr>
      <w:b/>
      <w:bCs/>
    </w:rPr>
  </w:style>
  <w:style w:type="character" w:customStyle="1" w:styleId="ac">
    <w:name w:val="Предмет на коментар Знак"/>
    <w:basedOn w:val="aa"/>
    <w:link w:val="ab"/>
    <w:uiPriority w:val="99"/>
    <w:semiHidden/>
    <w:rsid w:val="003A6419"/>
    <w:rPr>
      <w:b/>
      <w:bCs/>
      <w:sz w:val="20"/>
      <w:szCs w:val="20"/>
    </w:rPr>
  </w:style>
  <w:style w:type="character" w:customStyle="1" w:styleId="Text1Char">
    <w:name w:val="Text 1 Char"/>
    <w:link w:val="Text1"/>
    <w:locked/>
    <w:rsid w:val="009A0D0C"/>
    <w:rPr>
      <w:rFonts w:ascii="Times New Roman" w:hAnsi="Times New Roman"/>
      <w:sz w:val="24"/>
    </w:rPr>
  </w:style>
  <w:style w:type="paragraph" w:customStyle="1" w:styleId="Text1">
    <w:name w:val="Text 1"/>
    <w:basedOn w:val="a"/>
    <w:link w:val="Text1Char"/>
    <w:rsid w:val="009A0D0C"/>
    <w:pPr>
      <w:spacing w:before="120" w:after="120" w:line="240" w:lineRule="auto"/>
      <w:ind w:left="850"/>
      <w:jc w:val="both"/>
    </w:pPr>
    <w:rPr>
      <w:rFonts w:ascii="Times New Roman" w:hAnsi="Times New Roman"/>
      <w:sz w:val="24"/>
    </w:rPr>
  </w:style>
  <w:style w:type="paragraph" w:styleId="ad">
    <w:name w:val="endnote text"/>
    <w:basedOn w:val="a"/>
    <w:link w:val="ae"/>
    <w:uiPriority w:val="99"/>
    <w:semiHidden/>
    <w:unhideWhenUsed/>
    <w:rsid w:val="00856C69"/>
    <w:pPr>
      <w:spacing w:after="0" w:line="240" w:lineRule="auto"/>
    </w:pPr>
    <w:rPr>
      <w:sz w:val="20"/>
      <w:szCs w:val="20"/>
    </w:rPr>
  </w:style>
  <w:style w:type="character" w:customStyle="1" w:styleId="ae">
    <w:name w:val="Текст на бележка в края Знак"/>
    <w:basedOn w:val="a0"/>
    <w:link w:val="ad"/>
    <w:uiPriority w:val="99"/>
    <w:semiHidden/>
    <w:rsid w:val="00856C69"/>
    <w:rPr>
      <w:sz w:val="20"/>
      <w:szCs w:val="20"/>
    </w:rPr>
  </w:style>
  <w:style w:type="character" w:styleId="af">
    <w:name w:val="endnote reference"/>
    <w:basedOn w:val="a0"/>
    <w:uiPriority w:val="99"/>
    <w:semiHidden/>
    <w:unhideWhenUsed/>
    <w:rsid w:val="00856C69"/>
    <w:rPr>
      <w:vertAlign w:val="superscript"/>
    </w:rPr>
  </w:style>
  <w:style w:type="paragraph" w:styleId="af0">
    <w:name w:val="footer"/>
    <w:basedOn w:val="a"/>
    <w:link w:val="af1"/>
    <w:uiPriority w:val="99"/>
    <w:unhideWhenUsed/>
    <w:rsid w:val="0084454E"/>
    <w:pPr>
      <w:tabs>
        <w:tab w:val="center" w:pos="4536"/>
        <w:tab w:val="right" w:pos="9072"/>
      </w:tabs>
      <w:spacing w:after="0" w:line="240" w:lineRule="auto"/>
    </w:pPr>
  </w:style>
  <w:style w:type="character" w:customStyle="1" w:styleId="af1">
    <w:name w:val="Долен колонтитул Знак"/>
    <w:basedOn w:val="a0"/>
    <w:link w:val="af0"/>
    <w:uiPriority w:val="99"/>
    <w:rsid w:val="0084454E"/>
  </w:style>
  <w:style w:type="table" w:styleId="af2">
    <w:name w:val="Table Grid"/>
    <w:basedOn w:val="a1"/>
    <w:uiPriority w:val="59"/>
    <w:rsid w:val="003C3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Plain Text"/>
    <w:basedOn w:val="a"/>
    <w:link w:val="af4"/>
    <w:rsid w:val="003C3787"/>
    <w:pPr>
      <w:spacing w:after="0" w:line="240" w:lineRule="auto"/>
    </w:pPr>
    <w:rPr>
      <w:rFonts w:ascii="Courier New" w:eastAsia="Times New Roman" w:hAnsi="Courier New" w:cs="Courier New"/>
      <w:sz w:val="20"/>
      <w:szCs w:val="20"/>
      <w:lang w:val="el-GR" w:eastAsia="bg-BG"/>
    </w:rPr>
  </w:style>
  <w:style w:type="character" w:customStyle="1" w:styleId="af4">
    <w:name w:val="Обикновен текст Знак"/>
    <w:basedOn w:val="a0"/>
    <w:link w:val="af3"/>
    <w:rsid w:val="003C3787"/>
    <w:rPr>
      <w:rFonts w:ascii="Courier New" w:eastAsia="Times New Roman" w:hAnsi="Courier New" w:cs="Courier New"/>
      <w:sz w:val="20"/>
      <w:szCs w:val="20"/>
      <w:lang w:val="el-GR" w:eastAsia="bg-BG"/>
    </w:rPr>
  </w:style>
  <w:style w:type="paragraph" w:customStyle="1" w:styleId="Char1">
    <w:name w:val="Char1"/>
    <w:basedOn w:val="a"/>
    <w:rsid w:val="003C378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a"/>
    <w:rsid w:val="0031784D"/>
    <w:pPr>
      <w:tabs>
        <w:tab w:val="left" w:pos="709"/>
      </w:tabs>
      <w:spacing w:after="0" w:line="240" w:lineRule="auto"/>
    </w:pPr>
    <w:rPr>
      <w:rFonts w:ascii="Tahoma" w:eastAsia="Times New Roman" w:hAnsi="Tahoma" w:cs="Times New Roman"/>
      <w:sz w:val="24"/>
      <w:szCs w:val="24"/>
      <w:lang w:val="pl-PL" w:eastAsia="pl-PL"/>
    </w:rPr>
  </w:style>
  <w:style w:type="paragraph" w:styleId="2">
    <w:name w:val="Body Text 2"/>
    <w:aliases w:val=" Знак4,Знак4, Знак Знак Знак Знак Знак Знак,Основен текст 21, Знак41,Знак41, Знак3"/>
    <w:basedOn w:val="a"/>
    <w:link w:val="20"/>
    <w:rsid w:val="00FD20DC"/>
    <w:pPr>
      <w:spacing w:after="120" w:line="480" w:lineRule="auto"/>
      <w:jc w:val="both"/>
    </w:pPr>
    <w:rPr>
      <w:rFonts w:ascii="Univers" w:eastAsia="Times New Roman" w:hAnsi="Univers" w:cs="Times New Roman"/>
      <w:lang w:val="en-GB"/>
    </w:rPr>
  </w:style>
  <w:style w:type="character" w:customStyle="1" w:styleId="20">
    <w:name w:val="Основен текст 2 Знак"/>
    <w:aliases w:val=" Знак4 Знак,Знак4 Знак, Знак Знак Знак Знак Знак Знак Знак,Основен текст 21 Знак, Знак41 Знак,Знак41 Знак, Знак3 Знак"/>
    <w:basedOn w:val="a0"/>
    <w:link w:val="2"/>
    <w:rsid w:val="00FD20DC"/>
    <w:rPr>
      <w:rFonts w:ascii="Univers" w:eastAsia="Times New Roman" w:hAnsi="Univers" w:cs="Times New Roman"/>
      <w:lang w:val="en-GB"/>
    </w:rPr>
  </w:style>
  <w:style w:type="paragraph" w:customStyle="1" w:styleId="Default">
    <w:name w:val="Default"/>
    <w:rsid w:val="00F76DF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5">
    <w:name w:val="Title"/>
    <w:basedOn w:val="a"/>
    <w:link w:val="af6"/>
    <w:qFormat/>
    <w:rsid w:val="00691259"/>
    <w:pPr>
      <w:spacing w:before="240" w:after="0" w:line="240" w:lineRule="auto"/>
      <w:jc w:val="center"/>
    </w:pPr>
    <w:rPr>
      <w:rFonts w:ascii="Arial" w:eastAsia="Times New Roman" w:hAnsi="Arial" w:cs="Times New Roman"/>
      <w:b/>
      <w:bCs/>
      <w:kern w:val="28"/>
      <w:sz w:val="32"/>
      <w:szCs w:val="32"/>
      <w:lang w:val="en-GB"/>
    </w:rPr>
  </w:style>
  <w:style w:type="character" w:customStyle="1" w:styleId="af6">
    <w:name w:val="Заглавие Знак"/>
    <w:basedOn w:val="a0"/>
    <w:link w:val="af5"/>
    <w:rsid w:val="00691259"/>
    <w:rPr>
      <w:rFonts w:ascii="Arial" w:eastAsia="Times New Roman" w:hAnsi="Arial" w:cs="Times New Roman"/>
      <w:b/>
      <w:bCs/>
      <w:kern w:val="28"/>
      <w:sz w:val="32"/>
      <w:szCs w:val="32"/>
      <w:lang w:val="en-GB"/>
    </w:rPr>
  </w:style>
  <w:style w:type="character" w:styleId="af7">
    <w:name w:val="Hyperlink"/>
    <w:basedOn w:val="a0"/>
    <w:uiPriority w:val="99"/>
    <w:unhideWhenUsed/>
    <w:rsid w:val="00D531DD"/>
    <w:rPr>
      <w:color w:val="0000FF" w:themeColor="hyperlink"/>
      <w:u w:val="single"/>
    </w:rPr>
  </w:style>
  <w:style w:type="paragraph" w:styleId="af8">
    <w:name w:val="footnote text"/>
    <w:basedOn w:val="a"/>
    <w:link w:val="af9"/>
    <w:uiPriority w:val="99"/>
    <w:rsid w:val="002458EE"/>
    <w:rPr>
      <w:rFonts w:ascii="Calibri" w:eastAsia="Calibri" w:hAnsi="Calibri" w:cs="Times New Roman"/>
      <w:sz w:val="20"/>
      <w:szCs w:val="20"/>
      <w:lang w:val="en-US"/>
    </w:rPr>
  </w:style>
  <w:style w:type="character" w:customStyle="1" w:styleId="af9">
    <w:name w:val="Текст под линия Знак"/>
    <w:basedOn w:val="a0"/>
    <w:link w:val="af8"/>
    <w:uiPriority w:val="99"/>
    <w:rsid w:val="002458EE"/>
    <w:rPr>
      <w:rFonts w:ascii="Calibri" w:eastAsia="Calibri" w:hAnsi="Calibri" w:cs="Times New Roman"/>
      <w:sz w:val="20"/>
      <w:szCs w:val="20"/>
      <w:lang w:val="en-US"/>
    </w:rPr>
  </w:style>
  <w:style w:type="character" w:styleId="afa">
    <w:name w:val="footnote reference"/>
    <w:uiPriority w:val="99"/>
    <w:unhideWhenUsed/>
    <w:rsid w:val="00E97956"/>
    <w:rPr>
      <w:vertAlign w:val="superscript"/>
    </w:rPr>
  </w:style>
  <w:style w:type="character" w:customStyle="1" w:styleId="Footnote">
    <w:name w:val="Footnote_"/>
    <w:basedOn w:val="a0"/>
    <w:link w:val="Footnote0"/>
    <w:rsid w:val="00BA6190"/>
    <w:rPr>
      <w:rFonts w:ascii="Times New Roman" w:eastAsia="Times New Roman" w:hAnsi="Times New Roman" w:cs="Times New Roman"/>
      <w:sz w:val="20"/>
      <w:szCs w:val="20"/>
      <w:shd w:val="clear" w:color="auto" w:fill="FFFFFF"/>
    </w:rPr>
  </w:style>
  <w:style w:type="paragraph" w:customStyle="1" w:styleId="Footnote0">
    <w:name w:val="Footnote"/>
    <w:basedOn w:val="a"/>
    <w:link w:val="Footnote"/>
    <w:rsid w:val="00BA6190"/>
    <w:pPr>
      <w:widowControl w:val="0"/>
      <w:shd w:val="clear" w:color="auto" w:fill="FFFFFF"/>
      <w:spacing w:after="0" w:line="230" w:lineRule="exact"/>
      <w:ind w:hanging="220"/>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147D1"/>
  </w:style>
  <w:style w:type="paragraph" w:styleId="a3">
    <w:name w:val="List Paragraph"/>
    <w:basedOn w:val="a"/>
    <w:uiPriority w:val="34"/>
    <w:qFormat/>
    <w:rsid w:val="008147D1"/>
    <w:pPr>
      <w:ind w:left="720"/>
      <w:contextualSpacing/>
    </w:pPr>
  </w:style>
  <w:style w:type="character" w:customStyle="1" w:styleId="alt-edited1">
    <w:name w:val="alt-edited1"/>
    <w:basedOn w:val="a0"/>
    <w:rsid w:val="008147D1"/>
    <w:rPr>
      <w:color w:val="4D90F0"/>
    </w:rPr>
  </w:style>
  <w:style w:type="paragraph" w:styleId="a4">
    <w:name w:val="header"/>
    <w:basedOn w:val="a"/>
    <w:link w:val="a5"/>
    <w:uiPriority w:val="99"/>
    <w:rsid w:val="008D2AC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5">
    <w:name w:val="Горен колонтитул Знак"/>
    <w:basedOn w:val="a0"/>
    <w:link w:val="a4"/>
    <w:uiPriority w:val="99"/>
    <w:rsid w:val="008D2ACD"/>
    <w:rPr>
      <w:rFonts w:ascii="Times New Roman" w:eastAsia="Times New Roman" w:hAnsi="Times New Roman" w:cs="Times New Roman"/>
      <w:sz w:val="24"/>
      <w:szCs w:val="24"/>
      <w:lang w:eastAsia="bg-BG"/>
    </w:rPr>
  </w:style>
  <w:style w:type="paragraph" w:styleId="a6">
    <w:name w:val="Balloon Text"/>
    <w:basedOn w:val="a"/>
    <w:link w:val="a7"/>
    <w:uiPriority w:val="99"/>
    <w:semiHidden/>
    <w:unhideWhenUsed/>
    <w:rsid w:val="008D2ACD"/>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D2ACD"/>
    <w:rPr>
      <w:rFonts w:ascii="Tahoma" w:hAnsi="Tahoma" w:cs="Tahoma"/>
      <w:sz w:val="16"/>
      <w:szCs w:val="16"/>
    </w:rPr>
  </w:style>
  <w:style w:type="character" w:styleId="a8">
    <w:name w:val="annotation reference"/>
    <w:basedOn w:val="a0"/>
    <w:uiPriority w:val="99"/>
    <w:semiHidden/>
    <w:unhideWhenUsed/>
    <w:rsid w:val="003A6419"/>
    <w:rPr>
      <w:sz w:val="16"/>
      <w:szCs w:val="16"/>
    </w:rPr>
  </w:style>
  <w:style w:type="paragraph" w:styleId="a9">
    <w:name w:val="annotation text"/>
    <w:basedOn w:val="a"/>
    <w:link w:val="aa"/>
    <w:uiPriority w:val="99"/>
    <w:semiHidden/>
    <w:unhideWhenUsed/>
    <w:rsid w:val="003A6419"/>
    <w:pPr>
      <w:spacing w:line="240" w:lineRule="auto"/>
    </w:pPr>
    <w:rPr>
      <w:sz w:val="20"/>
      <w:szCs w:val="20"/>
    </w:rPr>
  </w:style>
  <w:style w:type="character" w:customStyle="1" w:styleId="aa">
    <w:name w:val="Текст на коментар Знак"/>
    <w:basedOn w:val="a0"/>
    <w:link w:val="a9"/>
    <w:uiPriority w:val="99"/>
    <w:semiHidden/>
    <w:rsid w:val="003A6419"/>
    <w:rPr>
      <w:sz w:val="20"/>
      <w:szCs w:val="20"/>
    </w:rPr>
  </w:style>
  <w:style w:type="paragraph" w:styleId="ab">
    <w:name w:val="annotation subject"/>
    <w:basedOn w:val="a9"/>
    <w:next w:val="a9"/>
    <w:link w:val="ac"/>
    <w:uiPriority w:val="99"/>
    <w:semiHidden/>
    <w:unhideWhenUsed/>
    <w:rsid w:val="003A6419"/>
    <w:rPr>
      <w:b/>
      <w:bCs/>
    </w:rPr>
  </w:style>
  <w:style w:type="character" w:customStyle="1" w:styleId="ac">
    <w:name w:val="Предмет на коментар Знак"/>
    <w:basedOn w:val="aa"/>
    <w:link w:val="ab"/>
    <w:uiPriority w:val="99"/>
    <w:semiHidden/>
    <w:rsid w:val="003A6419"/>
    <w:rPr>
      <w:b/>
      <w:bCs/>
      <w:sz w:val="20"/>
      <w:szCs w:val="20"/>
    </w:rPr>
  </w:style>
  <w:style w:type="character" w:customStyle="1" w:styleId="Text1Char">
    <w:name w:val="Text 1 Char"/>
    <w:link w:val="Text1"/>
    <w:locked/>
    <w:rsid w:val="009A0D0C"/>
    <w:rPr>
      <w:rFonts w:ascii="Times New Roman" w:hAnsi="Times New Roman"/>
      <w:sz w:val="24"/>
    </w:rPr>
  </w:style>
  <w:style w:type="paragraph" w:customStyle="1" w:styleId="Text1">
    <w:name w:val="Text 1"/>
    <w:basedOn w:val="a"/>
    <w:link w:val="Text1Char"/>
    <w:rsid w:val="009A0D0C"/>
    <w:pPr>
      <w:spacing w:before="120" w:after="120" w:line="240" w:lineRule="auto"/>
      <w:ind w:left="850"/>
      <w:jc w:val="both"/>
    </w:pPr>
    <w:rPr>
      <w:rFonts w:ascii="Times New Roman" w:hAnsi="Times New Roman"/>
      <w:sz w:val="24"/>
    </w:rPr>
  </w:style>
  <w:style w:type="paragraph" w:styleId="ad">
    <w:name w:val="endnote text"/>
    <w:basedOn w:val="a"/>
    <w:link w:val="ae"/>
    <w:uiPriority w:val="99"/>
    <w:semiHidden/>
    <w:unhideWhenUsed/>
    <w:rsid w:val="00856C69"/>
    <w:pPr>
      <w:spacing w:after="0" w:line="240" w:lineRule="auto"/>
    </w:pPr>
    <w:rPr>
      <w:sz w:val="20"/>
      <w:szCs w:val="20"/>
    </w:rPr>
  </w:style>
  <w:style w:type="character" w:customStyle="1" w:styleId="ae">
    <w:name w:val="Текст на бележка в края Знак"/>
    <w:basedOn w:val="a0"/>
    <w:link w:val="ad"/>
    <w:uiPriority w:val="99"/>
    <w:semiHidden/>
    <w:rsid w:val="00856C69"/>
    <w:rPr>
      <w:sz w:val="20"/>
      <w:szCs w:val="20"/>
    </w:rPr>
  </w:style>
  <w:style w:type="character" w:styleId="af">
    <w:name w:val="endnote reference"/>
    <w:basedOn w:val="a0"/>
    <w:uiPriority w:val="99"/>
    <w:semiHidden/>
    <w:unhideWhenUsed/>
    <w:rsid w:val="00856C69"/>
    <w:rPr>
      <w:vertAlign w:val="superscript"/>
    </w:rPr>
  </w:style>
  <w:style w:type="paragraph" w:styleId="af0">
    <w:name w:val="footer"/>
    <w:basedOn w:val="a"/>
    <w:link w:val="af1"/>
    <w:uiPriority w:val="99"/>
    <w:unhideWhenUsed/>
    <w:rsid w:val="0084454E"/>
    <w:pPr>
      <w:tabs>
        <w:tab w:val="center" w:pos="4536"/>
        <w:tab w:val="right" w:pos="9072"/>
      </w:tabs>
      <w:spacing w:after="0" w:line="240" w:lineRule="auto"/>
    </w:pPr>
  </w:style>
  <w:style w:type="character" w:customStyle="1" w:styleId="af1">
    <w:name w:val="Долен колонтитул Знак"/>
    <w:basedOn w:val="a0"/>
    <w:link w:val="af0"/>
    <w:uiPriority w:val="99"/>
    <w:rsid w:val="0084454E"/>
  </w:style>
  <w:style w:type="table" w:styleId="af2">
    <w:name w:val="Table Grid"/>
    <w:basedOn w:val="a1"/>
    <w:uiPriority w:val="59"/>
    <w:rsid w:val="003C3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Plain Text"/>
    <w:basedOn w:val="a"/>
    <w:link w:val="af4"/>
    <w:rsid w:val="003C3787"/>
    <w:pPr>
      <w:spacing w:after="0" w:line="240" w:lineRule="auto"/>
    </w:pPr>
    <w:rPr>
      <w:rFonts w:ascii="Courier New" w:eastAsia="Times New Roman" w:hAnsi="Courier New" w:cs="Courier New"/>
      <w:sz w:val="20"/>
      <w:szCs w:val="20"/>
      <w:lang w:val="el-GR" w:eastAsia="bg-BG"/>
    </w:rPr>
  </w:style>
  <w:style w:type="character" w:customStyle="1" w:styleId="af4">
    <w:name w:val="Обикновен текст Знак"/>
    <w:basedOn w:val="a0"/>
    <w:link w:val="af3"/>
    <w:rsid w:val="003C3787"/>
    <w:rPr>
      <w:rFonts w:ascii="Courier New" w:eastAsia="Times New Roman" w:hAnsi="Courier New" w:cs="Courier New"/>
      <w:sz w:val="20"/>
      <w:szCs w:val="20"/>
      <w:lang w:val="el-GR" w:eastAsia="bg-BG"/>
    </w:rPr>
  </w:style>
  <w:style w:type="paragraph" w:customStyle="1" w:styleId="Char1">
    <w:name w:val="Char1"/>
    <w:basedOn w:val="a"/>
    <w:rsid w:val="003C378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a"/>
    <w:rsid w:val="0031784D"/>
    <w:pPr>
      <w:tabs>
        <w:tab w:val="left" w:pos="709"/>
      </w:tabs>
      <w:spacing w:after="0" w:line="240" w:lineRule="auto"/>
    </w:pPr>
    <w:rPr>
      <w:rFonts w:ascii="Tahoma" w:eastAsia="Times New Roman" w:hAnsi="Tahoma" w:cs="Times New Roman"/>
      <w:sz w:val="24"/>
      <w:szCs w:val="24"/>
      <w:lang w:val="pl-PL" w:eastAsia="pl-PL"/>
    </w:rPr>
  </w:style>
  <w:style w:type="paragraph" w:styleId="2">
    <w:name w:val="Body Text 2"/>
    <w:aliases w:val=" Знак4,Знак4, Знак Знак Знак Знак Знак Знак,Основен текст 21, Знак41,Знак41, Знак3"/>
    <w:basedOn w:val="a"/>
    <w:link w:val="20"/>
    <w:rsid w:val="00FD20DC"/>
    <w:pPr>
      <w:spacing w:after="120" w:line="480" w:lineRule="auto"/>
      <w:jc w:val="both"/>
    </w:pPr>
    <w:rPr>
      <w:rFonts w:ascii="Univers" w:eastAsia="Times New Roman" w:hAnsi="Univers" w:cs="Times New Roman"/>
      <w:lang w:val="en-GB"/>
    </w:rPr>
  </w:style>
  <w:style w:type="character" w:customStyle="1" w:styleId="20">
    <w:name w:val="Основен текст 2 Знак"/>
    <w:aliases w:val=" Знак4 Знак,Знак4 Знак, Знак Знак Знак Знак Знак Знак Знак,Основен текст 21 Знак, Знак41 Знак,Знак41 Знак, Знак3 Знак"/>
    <w:basedOn w:val="a0"/>
    <w:link w:val="2"/>
    <w:rsid w:val="00FD20DC"/>
    <w:rPr>
      <w:rFonts w:ascii="Univers" w:eastAsia="Times New Roman" w:hAnsi="Univers" w:cs="Times New Roman"/>
      <w:lang w:val="en-GB"/>
    </w:rPr>
  </w:style>
  <w:style w:type="paragraph" w:customStyle="1" w:styleId="Default">
    <w:name w:val="Default"/>
    <w:rsid w:val="00F76DF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5">
    <w:name w:val="Title"/>
    <w:basedOn w:val="a"/>
    <w:link w:val="af6"/>
    <w:qFormat/>
    <w:rsid w:val="00691259"/>
    <w:pPr>
      <w:spacing w:before="240" w:after="0" w:line="240" w:lineRule="auto"/>
      <w:jc w:val="center"/>
    </w:pPr>
    <w:rPr>
      <w:rFonts w:ascii="Arial" w:eastAsia="Times New Roman" w:hAnsi="Arial" w:cs="Times New Roman"/>
      <w:b/>
      <w:bCs/>
      <w:kern w:val="28"/>
      <w:sz w:val="32"/>
      <w:szCs w:val="32"/>
      <w:lang w:val="en-GB"/>
    </w:rPr>
  </w:style>
  <w:style w:type="character" w:customStyle="1" w:styleId="af6">
    <w:name w:val="Заглавие Знак"/>
    <w:basedOn w:val="a0"/>
    <w:link w:val="af5"/>
    <w:rsid w:val="00691259"/>
    <w:rPr>
      <w:rFonts w:ascii="Arial" w:eastAsia="Times New Roman" w:hAnsi="Arial" w:cs="Times New Roman"/>
      <w:b/>
      <w:bCs/>
      <w:kern w:val="28"/>
      <w:sz w:val="32"/>
      <w:szCs w:val="32"/>
      <w:lang w:val="en-GB"/>
    </w:rPr>
  </w:style>
  <w:style w:type="character" w:styleId="af7">
    <w:name w:val="Hyperlink"/>
    <w:basedOn w:val="a0"/>
    <w:uiPriority w:val="99"/>
    <w:unhideWhenUsed/>
    <w:rsid w:val="00D531DD"/>
    <w:rPr>
      <w:color w:val="0000FF" w:themeColor="hyperlink"/>
      <w:u w:val="single"/>
    </w:rPr>
  </w:style>
  <w:style w:type="paragraph" w:styleId="af8">
    <w:name w:val="footnote text"/>
    <w:basedOn w:val="a"/>
    <w:link w:val="af9"/>
    <w:uiPriority w:val="99"/>
    <w:rsid w:val="002458EE"/>
    <w:rPr>
      <w:rFonts w:ascii="Calibri" w:eastAsia="Calibri" w:hAnsi="Calibri" w:cs="Times New Roman"/>
      <w:sz w:val="20"/>
      <w:szCs w:val="20"/>
      <w:lang w:val="en-US"/>
    </w:rPr>
  </w:style>
  <w:style w:type="character" w:customStyle="1" w:styleId="af9">
    <w:name w:val="Текст под линия Знак"/>
    <w:basedOn w:val="a0"/>
    <w:link w:val="af8"/>
    <w:uiPriority w:val="99"/>
    <w:rsid w:val="002458EE"/>
    <w:rPr>
      <w:rFonts w:ascii="Calibri" w:eastAsia="Calibri" w:hAnsi="Calibri" w:cs="Times New Roman"/>
      <w:sz w:val="20"/>
      <w:szCs w:val="20"/>
      <w:lang w:val="en-US"/>
    </w:rPr>
  </w:style>
  <w:style w:type="character" w:styleId="afa">
    <w:name w:val="footnote reference"/>
    <w:uiPriority w:val="99"/>
    <w:unhideWhenUsed/>
    <w:rsid w:val="00E97956"/>
    <w:rPr>
      <w:vertAlign w:val="superscript"/>
    </w:rPr>
  </w:style>
  <w:style w:type="character" w:customStyle="1" w:styleId="Footnote">
    <w:name w:val="Footnote_"/>
    <w:basedOn w:val="a0"/>
    <w:link w:val="Footnote0"/>
    <w:rsid w:val="00BA6190"/>
    <w:rPr>
      <w:rFonts w:ascii="Times New Roman" w:eastAsia="Times New Roman" w:hAnsi="Times New Roman" w:cs="Times New Roman"/>
      <w:sz w:val="20"/>
      <w:szCs w:val="20"/>
      <w:shd w:val="clear" w:color="auto" w:fill="FFFFFF"/>
    </w:rPr>
  </w:style>
  <w:style w:type="paragraph" w:customStyle="1" w:styleId="Footnote0">
    <w:name w:val="Footnote"/>
    <w:basedOn w:val="a"/>
    <w:link w:val="Footnote"/>
    <w:rsid w:val="00BA6190"/>
    <w:pPr>
      <w:widowControl w:val="0"/>
      <w:shd w:val="clear" w:color="auto" w:fill="FFFFFF"/>
      <w:spacing w:after="0" w:line="230" w:lineRule="exact"/>
      <w:ind w:hanging="220"/>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60357">
      <w:bodyDiv w:val="1"/>
      <w:marLeft w:val="0"/>
      <w:marRight w:val="0"/>
      <w:marTop w:val="0"/>
      <w:marBottom w:val="0"/>
      <w:divBdr>
        <w:top w:val="none" w:sz="0" w:space="0" w:color="auto"/>
        <w:left w:val="none" w:sz="0" w:space="0" w:color="auto"/>
        <w:bottom w:val="none" w:sz="0" w:space="0" w:color="auto"/>
        <w:right w:val="none" w:sz="0" w:space="0" w:color="auto"/>
      </w:divBdr>
    </w:div>
    <w:div w:id="8913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nimis.minfin.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3918D-7CDB-49AE-BC91-62C2998D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3999</Words>
  <Characters>22800</Characters>
  <Application>Microsoft Office Word</Application>
  <DocSecurity>0</DocSecurity>
  <Lines>190</Lines>
  <Paragraphs>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MRRB</Company>
  <LinksUpToDate>false</LinksUpToDate>
  <CharactersWithSpaces>26746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 Hristov</dc:creator>
  <cp:lastModifiedBy>Nevena Todorova</cp:lastModifiedBy>
  <cp:revision>2</cp:revision>
  <dcterms:created xsi:type="dcterms:W3CDTF">2015-11-09T12:27:00Z</dcterms:created>
  <dcterms:modified xsi:type="dcterms:W3CDTF">2015-11-09T12:27:00Z</dcterms:modified>
</cp:coreProperties>
</file>